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B7BA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145E03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《第七师一二五团城镇开发边界内国土</w:t>
      </w:r>
    </w:p>
    <w:p w14:paraId="79230ED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空间详细规划》（初步成果）</w:t>
      </w:r>
    </w:p>
    <w:p w14:paraId="249940A0">
      <w:pPr>
        <w:jc w:val="center"/>
        <w:rPr>
          <w:rFonts w:ascii="仿宋" w:hAnsi="仿宋" w:eastAsia="仿宋"/>
          <w:sz w:val="28"/>
          <w:szCs w:val="32"/>
        </w:rPr>
      </w:pPr>
    </w:p>
    <w:p w14:paraId="26CDC533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一、规划范围</w:t>
      </w:r>
    </w:p>
    <w:p w14:paraId="30993421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本次规划范围为总体规划确定的中心镇区详细规划编制单元，单元编号657703XGDY01001。四至范围为东至YO59、南至棉花厂、西至建一线、北至北环路，总面积为523.51公顷，其中城镇开发边界面积为253.61公顷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27665A46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二、发展定位</w:t>
      </w:r>
    </w:p>
    <w:p w14:paraId="17A28405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落实《第七师一二五团国土空间总体规划（2</w:t>
      </w:r>
      <w:r>
        <w:rPr>
          <w:rFonts w:ascii="仿宋_GB2312" w:hAnsi="仿宋_GB2312" w:eastAsia="仿宋_GB2312" w:cs="仿宋_GB2312"/>
          <w:sz w:val="32"/>
          <w:szCs w:val="32"/>
        </w:rPr>
        <w:t>021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ascii="仿宋_GB2312" w:hAnsi="仿宋_GB2312" w:eastAsia="仿宋_GB2312" w:cs="仿宋_GB2312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年）》（以下简称“总体规划”）确定的中心镇区城镇性质与主导功能，确定中心镇区详细规划发展定位为：以农业、林果业、畜牧业、商贸物流、农副产品深加工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为主导的农旅型宜居小城镇。</w:t>
      </w:r>
    </w:p>
    <w:p w14:paraId="6CD821A4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三、发展规模</w:t>
      </w:r>
    </w:p>
    <w:p w14:paraId="7CD319E1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落实总体规划，规划至2</w:t>
      </w:r>
      <w:r>
        <w:rPr>
          <w:rFonts w:ascii="仿宋_GB2312" w:hAnsi="仿宋_GB2312" w:eastAsia="仿宋_GB2312" w:cs="仿宋_GB2312"/>
          <w:sz w:val="32"/>
          <w:szCs w:val="32"/>
        </w:rPr>
        <w:t>035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年，本次规划范围内容纳人口2.5万人；规划范围内</w:t>
      </w:r>
      <w:r>
        <w:rPr>
          <w:rFonts w:ascii="仿宋_GB2312" w:hAnsi="仿宋_GB2312" w:eastAsia="仿宋_GB2312" w:cs="仿宋_GB2312"/>
          <w:sz w:val="32"/>
          <w:szCs w:val="32"/>
        </w:rPr>
        <w:t>城镇建设用地面积不超过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253.61</w:t>
      </w:r>
      <w:r>
        <w:rPr>
          <w:rFonts w:ascii="仿宋_GB2312" w:hAnsi="仿宋_GB2312" w:eastAsia="仿宋_GB2312" w:cs="仿宋_GB2312"/>
          <w:sz w:val="32"/>
          <w:szCs w:val="32"/>
        </w:rPr>
        <w:t>公顷。</w:t>
      </w:r>
    </w:p>
    <w:p w14:paraId="6649F967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四、用地布局</w:t>
      </w:r>
    </w:p>
    <w:p w14:paraId="4FF33DB9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规划居住用地87.95</w:t>
      </w:r>
      <w:r>
        <w:rPr>
          <w:rFonts w:ascii="仿宋_GB2312" w:hAnsi="仿宋_GB2312" w:eastAsia="仿宋_GB2312" w:cs="仿宋_GB2312"/>
          <w:sz w:val="32"/>
          <w:szCs w:val="32"/>
        </w:rPr>
        <w:t>公顷、公共管理与公共服务设施用地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37.88</w:t>
      </w:r>
      <w:r>
        <w:rPr>
          <w:rFonts w:ascii="仿宋_GB2312" w:hAnsi="仿宋_GB2312" w:eastAsia="仿宋_GB2312" w:cs="仿宋_GB2312"/>
          <w:sz w:val="32"/>
          <w:szCs w:val="32"/>
        </w:rPr>
        <w:t>公顷、商业服务业用地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23.82</w:t>
      </w:r>
      <w:r>
        <w:rPr>
          <w:rFonts w:ascii="仿宋_GB2312" w:hAnsi="仿宋_GB2312" w:eastAsia="仿宋_GB2312" w:cs="仿宋_GB2312"/>
          <w:sz w:val="32"/>
          <w:szCs w:val="32"/>
        </w:rPr>
        <w:t>公顷、工矿用地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29.26</w:t>
      </w:r>
      <w:r>
        <w:rPr>
          <w:rFonts w:ascii="仿宋_GB2312" w:hAnsi="仿宋_GB2312" w:eastAsia="仿宋_GB2312" w:cs="仿宋_GB2312"/>
          <w:sz w:val="32"/>
          <w:szCs w:val="32"/>
        </w:rPr>
        <w:t>公顷、物流仓储用地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8.94</w:t>
      </w:r>
      <w:r>
        <w:rPr>
          <w:rFonts w:ascii="仿宋_GB2312" w:hAnsi="仿宋_GB2312" w:eastAsia="仿宋_GB2312" w:cs="仿宋_GB2312"/>
          <w:sz w:val="32"/>
          <w:szCs w:val="32"/>
        </w:rPr>
        <w:t>公顷、交通运输用地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26.09</w:t>
      </w:r>
      <w:r>
        <w:rPr>
          <w:rFonts w:ascii="仿宋_GB2312" w:hAnsi="仿宋_GB2312" w:eastAsia="仿宋_GB2312" w:cs="仿宋_GB2312"/>
          <w:sz w:val="32"/>
          <w:szCs w:val="32"/>
        </w:rPr>
        <w:t>公顷、公用设施用地4</w:t>
      </w:r>
      <w:r>
        <w:rPr>
          <w:rFonts w:hint="eastAsia" w:ascii="仿宋_GB2312" w:hAnsi="仿宋_GB2312" w:eastAsia="仿宋_GB2312" w:cs="仿宋_GB2312"/>
          <w:sz w:val="32"/>
          <w:szCs w:val="32"/>
        </w:rPr>
        <w:t>.88</w:t>
      </w:r>
      <w:r>
        <w:rPr>
          <w:rFonts w:ascii="仿宋_GB2312" w:hAnsi="仿宋_GB2312" w:eastAsia="仿宋_GB2312" w:cs="仿宋_GB2312"/>
          <w:sz w:val="32"/>
          <w:szCs w:val="32"/>
        </w:rPr>
        <w:t>公顷、绿地与开敞空间用地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33.73</w:t>
      </w:r>
      <w:r>
        <w:rPr>
          <w:rFonts w:ascii="仿宋_GB2312" w:hAnsi="仿宋_GB2312" w:eastAsia="仿宋_GB2312" w:cs="仿宋_GB2312"/>
          <w:sz w:val="32"/>
          <w:szCs w:val="32"/>
        </w:rPr>
        <w:t>公顷、特殊用地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1.06</w:t>
      </w:r>
      <w:r>
        <w:rPr>
          <w:rFonts w:ascii="仿宋_GB2312" w:hAnsi="仿宋_GB2312" w:eastAsia="仿宋_GB2312" w:cs="仿宋_GB2312"/>
          <w:sz w:val="32"/>
          <w:szCs w:val="32"/>
        </w:rPr>
        <w:t>公顷。</w:t>
      </w:r>
    </w:p>
    <w:p w14:paraId="1BC3AB86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五、公共服务设施</w:t>
      </w:r>
    </w:p>
    <w:p w14:paraId="24512CAB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规划构建“团镇级</w:t>
      </w:r>
      <w:r>
        <w:rPr>
          <w:rFonts w:ascii="仿宋_GB2312" w:hAnsi="仿宋_GB2312" w:eastAsia="仿宋_GB2312" w:cs="仿宋_GB2312"/>
          <w:sz w:val="32"/>
          <w:szCs w:val="32"/>
        </w:rPr>
        <w:t>-社区级”两级公共服务体系。</w:t>
      </w:r>
    </w:p>
    <w:p w14:paraId="7F8596CE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团镇级公共服务设施服务于一二五团全域并兼顾周边地区，同时为镇区居民提供十五分钟社区生活圈服务。社区级公共服务设施按照五至十</w:t>
      </w:r>
      <w:r>
        <w:rPr>
          <w:rFonts w:ascii="仿宋_GB2312" w:hAnsi="仿宋_GB2312" w:eastAsia="仿宋_GB2312" w:cs="仿宋_GB2312"/>
          <w:sz w:val="32"/>
          <w:szCs w:val="32"/>
        </w:rPr>
        <w:t>分钟便民生活圈配置要求，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配置</w:t>
      </w:r>
      <w:r>
        <w:rPr>
          <w:rFonts w:ascii="仿宋_GB2312" w:hAnsi="仿宋_GB2312" w:eastAsia="仿宋_GB2312" w:cs="仿宋_GB2312"/>
          <w:sz w:val="32"/>
          <w:szCs w:val="32"/>
        </w:rPr>
        <w:t>满足居民休闲、教育、医疗、文化、体育等需求的各类便民生活服务设施。</w:t>
      </w:r>
    </w:p>
    <w:p w14:paraId="4E8508DF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规划形成1个“十五分钟生活圈”和3个“五至十分钟生活圈”两级公共服务设施体系。</w:t>
      </w:r>
    </w:p>
    <w:p w14:paraId="52C3B19B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规划新建1处全民健身中心、1处图书馆、1处残疾人康养中心及1处农机陈列馆，兼顾为镇区居民提供十五分钟社区生活圈服务设施。</w:t>
      </w:r>
    </w:p>
    <w:p w14:paraId="22C2EDD0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规划每个五至十分钟社区生活圈设置</w:t>
      </w:r>
      <w:r>
        <w:rPr>
          <w:rFonts w:ascii="仿宋_GB2312" w:hAnsi="仿宋_GB2312" w:eastAsia="仿宋_GB2312" w:cs="仿宋_GB2312"/>
          <w:sz w:val="32"/>
          <w:szCs w:val="32"/>
        </w:rPr>
        <w:t>1处社区级公共服务中心，包含社区服务站、社区文化活动站、社区卫生服务站、托育设施、老年人日间照料中心（托老所）、室外健身场地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7015CC4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六、蓝绿空间</w:t>
      </w:r>
    </w:p>
    <w:p w14:paraId="5FC75731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“生态绿洲田园城镇”为目标，规划形成“公园点缀、绿化成网”的蓝绿空间体系。“公园点缀”，是指南北两处相互呼应的生态景观公园。“绿化成网”，是指规划沿主要道路两侧建设的数条绿化带，整体形成五横四纵的布局，绿化带单侧宽度为10-20m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15B92443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七、综合交通</w:t>
      </w:r>
    </w:p>
    <w:p w14:paraId="3C62B8B5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规划中心镇区构建“四横四纵”的主次干路结构。“四横”包括人民路、健康路、康明路和康庄路；“四纵”包括前高公路、幸福路、建设路和小康路。</w:t>
      </w:r>
    </w:p>
    <w:p w14:paraId="0DA1ED7F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八、开发建设管控</w:t>
      </w:r>
    </w:p>
    <w:p w14:paraId="371C1C60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规划形成2个层次的开发强度分区，合理引导开发建设。</w:t>
      </w:r>
    </w:p>
    <w:p w14:paraId="47C343EA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容积率≤1.0（低强度区）：主要包括一类城镇住宅用地、公共服务设施用地、公用设施用地、特殊用地以及工业用地、物流仓储用地。</w:t>
      </w:r>
    </w:p>
    <w:p w14:paraId="1B07351B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1.0＜容积率≤1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5（中强度区）：主要包括</w:t>
      </w:r>
      <w:r>
        <w:rPr>
          <w:rFonts w:ascii="仿宋_GB2312" w:hAnsi="仿宋_GB2312" w:eastAsia="仿宋_GB2312" w:cs="仿宋_GB2312"/>
          <w:sz w:val="32"/>
          <w:szCs w:val="32"/>
        </w:rPr>
        <w:t>商业用地、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二类</w:t>
      </w:r>
      <w:r>
        <w:rPr>
          <w:rFonts w:ascii="仿宋_GB2312" w:hAnsi="仿宋_GB2312" w:eastAsia="仿宋_GB2312" w:cs="仿宋_GB2312"/>
          <w:sz w:val="32"/>
          <w:szCs w:val="32"/>
        </w:rPr>
        <w:t>城镇住宅用地。</w:t>
      </w:r>
    </w:p>
    <w:p w14:paraId="743219C8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九、规划实施</w:t>
      </w:r>
    </w:p>
    <w:p w14:paraId="58ADA01C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本规划批准实施前已建设或已获得建设许可的建设项目，按已批准的建设许可要求执行。本规划批准实施后，城镇开发边界内从事开发、建设等实施活动及出让条件、选址意见、规划许可等应遵循本规划。</w:t>
      </w:r>
    </w:p>
    <w:p w14:paraId="0646D756">
      <w:pPr>
        <w:pStyle w:val="11"/>
        <w:spacing w:line="560" w:lineRule="exact"/>
        <w:ind w:left="640" w:firstLine="0" w:firstLineChars="0"/>
        <w:outlineLvl w:val="0"/>
        <w:rPr>
          <w:rFonts w:ascii="黑体" w:hAnsi="黑体" w:eastAsia="黑体" w:cs="黑体"/>
          <w:color w:val="000000"/>
          <w:sz w:val="32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6"/>
        </w:rPr>
        <w:t>十、附图</w:t>
      </w:r>
    </w:p>
    <w:p w14:paraId="7601AABF">
      <w:pPr>
        <w:pStyle w:val="11"/>
        <w:spacing w:line="560" w:lineRule="exact"/>
        <w:ind w:firstLine="640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 w14:paraId="7008E136">
      <w:pPr>
        <w:ind w:firstLine="640" w:firstLineChars="200"/>
        <w:jc w:val="right"/>
        <w:rPr>
          <w:rFonts w:ascii="仿宋" w:hAnsi="仿宋" w:eastAsia="仿宋"/>
          <w:sz w:val="32"/>
          <w:szCs w:val="36"/>
        </w:rPr>
      </w:pPr>
    </w:p>
    <w:p w14:paraId="78434C4B">
      <w:pPr>
        <w:rPr>
          <w:rFonts w:ascii="仿宋" w:hAnsi="仿宋" w:eastAsia="仿宋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E345A7"/>
    <w:multiLevelType w:val="multilevel"/>
    <w:tmpl w:val="49E345A7"/>
    <w:lvl w:ilvl="0" w:tentative="0">
      <w:start w:val="1"/>
      <w:numFmt w:val="decimal"/>
      <w:pStyle w:val="9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03"/>
    <w:rsid w:val="0000731A"/>
    <w:rsid w:val="00017758"/>
    <w:rsid w:val="000420D6"/>
    <w:rsid w:val="00093550"/>
    <w:rsid w:val="000D16AA"/>
    <w:rsid w:val="000E0165"/>
    <w:rsid w:val="000E77D2"/>
    <w:rsid w:val="000F108E"/>
    <w:rsid w:val="00197771"/>
    <w:rsid w:val="001B22AD"/>
    <w:rsid w:val="001C3C05"/>
    <w:rsid w:val="00206A77"/>
    <w:rsid w:val="002174ED"/>
    <w:rsid w:val="00251602"/>
    <w:rsid w:val="00262109"/>
    <w:rsid w:val="002A5669"/>
    <w:rsid w:val="002D225C"/>
    <w:rsid w:val="002D3910"/>
    <w:rsid w:val="003310C1"/>
    <w:rsid w:val="003737B2"/>
    <w:rsid w:val="003C6A0E"/>
    <w:rsid w:val="003F6B62"/>
    <w:rsid w:val="004355C9"/>
    <w:rsid w:val="00461E33"/>
    <w:rsid w:val="004B37FF"/>
    <w:rsid w:val="004C3816"/>
    <w:rsid w:val="004D7B93"/>
    <w:rsid w:val="00521CBA"/>
    <w:rsid w:val="005B101A"/>
    <w:rsid w:val="005E4F71"/>
    <w:rsid w:val="00665F03"/>
    <w:rsid w:val="00686903"/>
    <w:rsid w:val="0069696B"/>
    <w:rsid w:val="00737B2A"/>
    <w:rsid w:val="00742221"/>
    <w:rsid w:val="00772AD5"/>
    <w:rsid w:val="007C19BA"/>
    <w:rsid w:val="007C6E89"/>
    <w:rsid w:val="007E512B"/>
    <w:rsid w:val="00805859"/>
    <w:rsid w:val="00807DAF"/>
    <w:rsid w:val="008207F8"/>
    <w:rsid w:val="0082646C"/>
    <w:rsid w:val="0089213F"/>
    <w:rsid w:val="008D14FF"/>
    <w:rsid w:val="008E1BFF"/>
    <w:rsid w:val="0091514A"/>
    <w:rsid w:val="0096277D"/>
    <w:rsid w:val="00A5196E"/>
    <w:rsid w:val="00A67F10"/>
    <w:rsid w:val="00AB6772"/>
    <w:rsid w:val="00B05525"/>
    <w:rsid w:val="00B54C59"/>
    <w:rsid w:val="00B96B47"/>
    <w:rsid w:val="00BB33F8"/>
    <w:rsid w:val="00BE66B8"/>
    <w:rsid w:val="00BF37B9"/>
    <w:rsid w:val="00C30E98"/>
    <w:rsid w:val="00C6546E"/>
    <w:rsid w:val="00CA7A39"/>
    <w:rsid w:val="00CB3AC8"/>
    <w:rsid w:val="00CD3411"/>
    <w:rsid w:val="00CE79DF"/>
    <w:rsid w:val="00D425C4"/>
    <w:rsid w:val="00D53393"/>
    <w:rsid w:val="00DA2E63"/>
    <w:rsid w:val="00DA6A17"/>
    <w:rsid w:val="00DA7B0F"/>
    <w:rsid w:val="00DA7B5A"/>
    <w:rsid w:val="00DE4632"/>
    <w:rsid w:val="00E0703B"/>
    <w:rsid w:val="00E1178E"/>
    <w:rsid w:val="00E21D51"/>
    <w:rsid w:val="00E43A82"/>
    <w:rsid w:val="00EA7C81"/>
    <w:rsid w:val="00ED266D"/>
    <w:rsid w:val="00EE5DF3"/>
    <w:rsid w:val="00F60DBC"/>
    <w:rsid w:val="00F92A9E"/>
    <w:rsid w:val="538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paragraph" w:customStyle="1" w:styleId="9">
    <w:name w:val="表名"/>
    <w:basedOn w:val="1"/>
    <w:next w:val="1"/>
    <w:link w:val="10"/>
    <w:qFormat/>
    <w:uiPriority w:val="0"/>
    <w:pPr>
      <w:numPr>
        <w:ilvl w:val="0"/>
        <w:numId w:val="1"/>
      </w:numPr>
      <w:spacing w:line="360" w:lineRule="auto"/>
      <w:jc w:val="center"/>
    </w:pPr>
    <w:rPr>
      <w:rFonts w:eastAsia="宋体"/>
      <w:sz w:val="24"/>
    </w:rPr>
  </w:style>
  <w:style w:type="character" w:customStyle="1" w:styleId="10">
    <w:name w:val="表名 字符"/>
    <w:basedOn w:val="7"/>
    <w:link w:val="9"/>
    <w:uiPriority w:val="0"/>
    <w:rPr>
      <w:rFonts w:eastAsia="宋体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文字 字符"/>
    <w:basedOn w:val="7"/>
    <w:link w:val="2"/>
    <w:semiHidden/>
    <w:uiPriority w:val="99"/>
  </w:style>
  <w:style w:type="character" w:customStyle="1" w:styleId="15">
    <w:name w:val="批注主题 字符"/>
    <w:basedOn w:val="14"/>
    <w:link w:val="5"/>
    <w:semiHidden/>
    <w:uiPriority w:val="99"/>
    <w:rPr>
      <w:b/>
      <w:bCs/>
    </w:rPr>
  </w:style>
  <w:style w:type="paragraph" w:customStyle="1" w:styleId="1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1226</Characters>
  <Lines>8</Lines>
  <Paragraphs>2</Paragraphs>
  <TotalTime>60</TotalTime>
  <ScaleCrop>false</ScaleCrop>
  <LinksUpToDate>false</LinksUpToDate>
  <CharactersWithSpaces>1226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2024-11-21T03:37:00Z</dcterms:created>
  <dc:creator>范 晔霞</dc:creator>
  <cp:lastModifiedBy>丑八怪咿呀咿呀啊</cp:lastModifiedBy>
  <dcterms:modified xsi:type="dcterms:W3CDTF">2024-11-30T06:46:31Z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71977DAAEEC6407AA2D806EE21A8120D_12</vt:lpwstr>
  </property>
</Properties>
</file>