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关于涉企行政检查公示-频次上限的说明</w:t>
      </w:r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此项暂无内容，后续更新。</w:t>
      </w:r>
    </w:p>
    <w:p w14:paraId="6E2A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后续更新。</w:t>
      </w:r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0F0D"/>
    <w:rsid w:val="07C03DF5"/>
    <w:rsid w:val="0B01011B"/>
    <w:rsid w:val="0FE2319C"/>
    <w:rsid w:val="225A1EB9"/>
    <w:rsid w:val="23F7700F"/>
    <w:rsid w:val="24EA18E4"/>
    <w:rsid w:val="2BA411B4"/>
    <w:rsid w:val="3F4A5214"/>
    <w:rsid w:val="40D50D6D"/>
    <w:rsid w:val="454D4696"/>
    <w:rsid w:val="5BE014E5"/>
    <w:rsid w:val="68D91796"/>
    <w:rsid w:val="690412D8"/>
    <w:rsid w:val="69FF522C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5D43E613C99F4318A2E828B4A89B06BA_13</vt:lpwstr>
  </property>
</Properties>
</file>