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8662">
      <w:pPr>
        <w:keepNext w:val="0"/>
        <w:keepLines w:val="0"/>
        <w:pageBreakBefore w:val="0"/>
        <w:widowControl w:val="0"/>
        <w:tabs>
          <w:tab w:val="left" w:pos="4982"/>
        </w:tabs>
        <w:kinsoku/>
        <w:wordWrap/>
        <w:overflowPunct/>
        <w:topLinePunct w:val="0"/>
        <w:autoSpaceDE/>
        <w:autoSpaceDN/>
        <w:bidi w:val="0"/>
        <w:adjustRightInd/>
        <w:snapToGrid/>
        <w:spacing w:line="800" w:lineRule="exact"/>
        <w:textAlignment w:val="auto"/>
        <w:rPr>
          <w:rFonts w:hint="default" w:ascii="仿宋_GB2312" w:eastAsia="仿宋_GB2312"/>
          <w:snapToGrid w:val="0"/>
          <w:kern w:val="0"/>
          <w:sz w:val="32"/>
          <w:szCs w:val="32"/>
          <w:lang w:val="en-US" w:eastAsia="zh-CN"/>
        </w:rPr>
      </w:pPr>
      <w:r>
        <w:rPr>
          <w:rFonts w:hint="eastAsia" w:ascii="仿宋_GB2312" w:eastAsia="仿宋_GB2312"/>
          <w:snapToGrid w:val="0"/>
          <w:kern w:val="0"/>
          <w:sz w:val="32"/>
          <w:szCs w:val="32"/>
          <w:lang w:val="en-US" w:eastAsia="zh-CN"/>
        </w:rPr>
        <w:tab/>
      </w:r>
    </w:p>
    <w:p w14:paraId="72AD17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napToGrid w:val="0"/>
          <w:kern w:val="0"/>
          <w:sz w:val="32"/>
          <w:szCs w:val="32"/>
        </w:rPr>
      </w:pPr>
      <w:r>
        <w:rPr>
          <w:rFonts w:hint="eastAsia" w:ascii="仿宋_GB2312" w:eastAsia="仿宋_GB2312"/>
          <w:snapToGrid w:val="0"/>
          <w:kern w:val="0"/>
          <w:sz w:val="32"/>
          <w:szCs w:val="32"/>
        </w:rPr>
        <w:t xml:space="preserve">                              </w:t>
      </w:r>
      <w:r>
        <w:rPr>
          <w:rFonts w:hint="default" w:ascii="Times New Roman" w:hAnsi="Times New Roman" w:eastAsia="仿宋_GB2312" w:cs="Times New Roman"/>
          <w:snapToGrid w:val="0"/>
          <w:kern w:val="0"/>
          <w:sz w:val="32"/>
          <w:szCs w:val="32"/>
        </w:rPr>
        <w:t xml:space="preserve">  师市环审〔202</w:t>
      </w:r>
      <w:r>
        <w:rPr>
          <w:rFonts w:hint="default" w:ascii="Times New Roman" w:hAnsi="Times New Roman" w:eastAsia="仿宋_GB2312" w:cs="Times New Roman"/>
          <w:snapToGrid w:val="0"/>
          <w:kern w:val="0"/>
          <w:sz w:val="32"/>
          <w:szCs w:val="32"/>
          <w:lang w:val="en-US" w:eastAsia="zh-CN"/>
        </w:rPr>
        <w:t>5</w:t>
      </w:r>
      <w:r>
        <w:rPr>
          <w:rFonts w:hint="default" w:ascii="Times New Roman" w:hAnsi="Times New Roman" w:eastAsia="仿宋_GB2312" w:cs="Times New Roman"/>
          <w:snapToGrid w:val="0"/>
          <w:kern w:val="0"/>
          <w:sz w:val="32"/>
          <w:szCs w:val="32"/>
        </w:rPr>
        <w:t>〕</w:t>
      </w:r>
      <w:r>
        <w:rPr>
          <w:rFonts w:hint="eastAsia" w:eastAsia="仿宋_GB2312" w:cs="Times New Roman"/>
          <w:snapToGrid w:val="0"/>
          <w:kern w:val="0"/>
          <w:sz w:val="32"/>
          <w:szCs w:val="32"/>
          <w:lang w:val="en-US" w:eastAsia="zh-CN"/>
        </w:rPr>
        <w:t>52</w:t>
      </w:r>
      <w:r>
        <w:rPr>
          <w:rFonts w:hint="default" w:ascii="Times New Roman" w:hAnsi="Times New Roman" w:eastAsia="仿宋_GB2312" w:cs="Times New Roman"/>
          <w:snapToGrid w:val="0"/>
          <w:kern w:val="0"/>
          <w:sz w:val="32"/>
          <w:szCs w:val="32"/>
        </w:rPr>
        <w:t>号</w:t>
      </w:r>
    </w:p>
    <w:p w14:paraId="3A98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bCs/>
          <w:snapToGrid w:val="0"/>
          <w:kern w:val="0"/>
          <w:sz w:val="44"/>
          <w:szCs w:val="44"/>
        </w:rPr>
      </w:pPr>
    </w:p>
    <w:p w14:paraId="72152E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lang w:val="en-US" w:eastAsia="zh-CN"/>
        </w:rPr>
      </w:pPr>
      <w:r>
        <w:rPr>
          <w:rFonts w:hint="eastAsia" w:ascii="方正小标宋简体" w:hAnsi="宋体" w:eastAsia="方正小标宋简体"/>
          <w:bCs/>
          <w:snapToGrid w:val="0"/>
          <w:kern w:val="0"/>
          <w:sz w:val="44"/>
          <w:szCs w:val="44"/>
        </w:rPr>
        <w:t>关于</w:t>
      </w:r>
      <w:r>
        <w:rPr>
          <w:rFonts w:hint="eastAsia" w:ascii="方正小标宋简体" w:hAnsi="宋体" w:eastAsia="方正小标宋简体"/>
          <w:bCs/>
          <w:snapToGrid w:val="0"/>
          <w:kern w:val="0"/>
          <w:sz w:val="44"/>
          <w:szCs w:val="44"/>
          <w:lang w:val="en-US" w:eastAsia="zh-CN"/>
        </w:rPr>
        <w:t>新疆江浩电子材料有限公司铝电解电容器专用电极箔中压产线技术改造升级及</w:t>
      </w:r>
    </w:p>
    <w:p w14:paraId="6625DA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en-US" w:eastAsia="zh-CN"/>
        </w:rPr>
        <w:t>高压产线产能提升改造项目</w:t>
      </w:r>
    </w:p>
    <w:p w14:paraId="3780CA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宋体" w:eastAsia="方正小标宋简体"/>
          <w:bCs/>
          <w:snapToGrid w:val="0"/>
          <w:kern w:val="0"/>
          <w:sz w:val="44"/>
          <w:szCs w:val="44"/>
        </w:rPr>
      </w:pPr>
      <w:r>
        <w:rPr>
          <w:rFonts w:hint="eastAsia" w:ascii="方正小标宋简体" w:hAnsi="宋体" w:eastAsia="方正小标宋简体"/>
          <w:bCs/>
          <w:snapToGrid w:val="0"/>
          <w:kern w:val="0"/>
          <w:sz w:val="44"/>
          <w:szCs w:val="44"/>
          <w:lang w:val="zh-CN"/>
        </w:rPr>
        <w:t>环境影响报告</w:t>
      </w:r>
      <w:r>
        <w:rPr>
          <w:rFonts w:hint="eastAsia" w:ascii="方正小标宋简体" w:hAnsi="宋体" w:eastAsia="方正小标宋简体"/>
          <w:bCs/>
          <w:snapToGrid w:val="0"/>
          <w:kern w:val="0"/>
          <w:sz w:val="44"/>
          <w:szCs w:val="44"/>
        </w:rPr>
        <w:t>表</w:t>
      </w:r>
      <w:r>
        <w:rPr>
          <w:rFonts w:hint="eastAsia" w:ascii="方正小标宋简体" w:hAnsi="宋体" w:eastAsia="方正小标宋简体"/>
          <w:bCs/>
          <w:snapToGrid w:val="0"/>
          <w:kern w:val="0"/>
          <w:sz w:val="44"/>
          <w:szCs w:val="44"/>
          <w:lang w:val="en-US" w:eastAsia="zh-CN"/>
        </w:rPr>
        <w:t>的</w:t>
      </w:r>
      <w:r>
        <w:rPr>
          <w:rFonts w:hint="eastAsia" w:ascii="方正小标宋简体" w:hAnsi="宋体" w:eastAsia="方正小标宋简体"/>
          <w:bCs/>
          <w:snapToGrid w:val="0"/>
          <w:kern w:val="0"/>
          <w:sz w:val="44"/>
          <w:szCs w:val="44"/>
        </w:rPr>
        <w:t>批复</w:t>
      </w:r>
    </w:p>
    <w:p w14:paraId="42D8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仿宋_GB2312" w:eastAsia="仿宋_GB2312" w:cs="仿宋_GB2312"/>
          <w:bCs/>
          <w:snapToGrid w:val="0"/>
          <w:kern w:val="0"/>
          <w:sz w:val="32"/>
          <w:szCs w:val="32"/>
        </w:rPr>
      </w:pPr>
    </w:p>
    <w:p w14:paraId="221A86A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新疆江浩电子材料有限公司</w:t>
      </w:r>
      <w:r>
        <w:rPr>
          <w:rFonts w:hint="default" w:ascii="Times New Roman" w:hAnsi="Times New Roman" w:eastAsia="仿宋_GB2312" w:cs="Times New Roman"/>
          <w:sz w:val="32"/>
          <w:szCs w:val="32"/>
        </w:rPr>
        <w:t>：</w:t>
      </w:r>
    </w:p>
    <w:p w14:paraId="45C29A7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你公司《关于审批&lt;</w:t>
      </w:r>
      <w:r>
        <w:rPr>
          <w:rFonts w:hint="default" w:ascii="Times New Roman" w:hAnsi="Times New Roman" w:eastAsia="仿宋_GB2312" w:cs="Times New Roman"/>
          <w:sz w:val="32"/>
          <w:szCs w:val="32"/>
          <w:lang w:val="en-US" w:eastAsia="zh-CN"/>
        </w:rPr>
        <w:t>新疆江浩电子材料有限公司铝电解电容器专用电极箔中压产线技术改造升级及高压产线产能提升改造项目</w:t>
      </w:r>
      <w:r>
        <w:rPr>
          <w:rFonts w:hint="default" w:ascii="Times New Roman" w:hAnsi="Times New Roman" w:eastAsia="仿宋_GB2312" w:cs="Times New Roman"/>
          <w:sz w:val="32"/>
          <w:szCs w:val="32"/>
        </w:rPr>
        <w:t>&gt;的请示》收悉。经研究，批复如下：</w:t>
      </w:r>
    </w:p>
    <w:p w14:paraId="700CD3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一、该项目</w:t>
      </w:r>
      <w:r>
        <w:rPr>
          <w:rFonts w:hint="default" w:ascii="Times New Roman" w:hAnsi="Times New Roman" w:eastAsia="仿宋_GB2312" w:cs="Times New Roman"/>
          <w:sz w:val="32"/>
          <w:szCs w:val="32"/>
          <w:lang w:val="en-US" w:eastAsia="zh-CN"/>
        </w:rPr>
        <w:t>位于第七师胡杨河经济技术开发区南园区，项目区中心地理位置坐标为</w:t>
      </w:r>
      <w:bookmarkStart w:id="0" w:name="_Hlk180516248"/>
      <w:r>
        <w:rPr>
          <w:rFonts w:hint="default" w:ascii="Times New Roman" w:hAnsi="Times New Roman" w:eastAsia="仿宋_GB2312" w:cs="Times New Roman"/>
          <w:sz w:val="32"/>
          <w:szCs w:val="32"/>
          <w:lang w:val="en-US" w:eastAsia="zh-CN"/>
        </w:rPr>
        <w:t>东经84°53'7.115"，北纬44°48'36.426"。</w:t>
      </w:r>
      <w:bookmarkEnd w:id="0"/>
      <w:r>
        <w:rPr>
          <w:rFonts w:hint="default" w:ascii="Times New Roman" w:hAnsi="Times New Roman" w:eastAsia="仿宋_GB2312" w:cs="Times New Roman"/>
          <w:sz w:val="32"/>
          <w:szCs w:val="32"/>
          <w:lang w:val="en-US" w:eastAsia="zh-CN"/>
        </w:rPr>
        <w:t>项目属于</w:t>
      </w:r>
      <w:r>
        <w:rPr>
          <w:rFonts w:hint="eastAsia" w:eastAsia="仿宋_GB2312" w:cs="Times New Roman"/>
          <w:sz w:val="32"/>
          <w:szCs w:val="32"/>
          <w:lang w:val="en-US" w:eastAsia="zh-CN"/>
        </w:rPr>
        <w:t>技改</w:t>
      </w:r>
      <w:r>
        <w:rPr>
          <w:rFonts w:hint="default" w:ascii="Times New Roman" w:hAnsi="Times New Roman" w:eastAsia="仿宋_GB2312" w:cs="Times New Roman"/>
          <w:sz w:val="32"/>
          <w:szCs w:val="32"/>
          <w:lang w:val="en-US" w:eastAsia="zh-CN"/>
        </w:rPr>
        <w:t>工程，对已建成的34条化成线开展高效化改造升级，将10条中压化成线改造为高效高压化成线；将24条高压化成线同步优化为高效高压化成线；一期未建设的6条高压化成线同步优化为高效高压化成线。本项目总投资5000万元，其中环保投资22万元，占总投资的0.44％。</w:t>
      </w:r>
    </w:p>
    <w:p w14:paraId="7E1141A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bCs/>
          <w:sz w:val="32"/>
          <w:szCs w:val="32"/>
        </w:rPr>
        <w:t>项目实施后会对环境造成一定不利影响，必须严格落实各项污染防治和生态环境保护措施，采取严格的环境风险防范措施、环境管理制度、环境监控和应急措施。综合考虑，我局原则同意该项目环境影响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中所列建设项目的性质、规模、地点、工艺和环境保护对策措施。</w:t>
      </w:r>
    </w:p>
    <w:p w14:paraId="6AF414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三、</w:t>
      </w:r>
      <w:r>
        <w:rPr>
          <w:rFonts w:hint="default" w:ascii="Times New Roman" w:hAnsi="Times New Roman" w:eastAsia="仿宋_GB2312" w:cs="Times New Roman"/>
          <w:bCs/>
          <w:sz w:val="32"/>
          <w:szCs w:val="32"/>
        </w:rPr>
        <w:t>项目建设和运营中应重点做好的工作：</w:t>
      </w:r>
    </w:p>
    <w:p w14:paraId="78D54EE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rPr>
        <w:t>（一）严格落实大气污染防治措施。</w:t>
      </w:r>
      <w:r>
        <w:rPr>
          <w:rFonts w:hint="default" w:ascii="Times New Roman" w:hAnsi="Times New Roman" w:eastAsia="仿宋_GB2312" w:cs="Times New Roman"/>
          <w:b w:val="0"/>
          <w:bCs/>
          <w:sz w:val="32"/>
          <w:szCs w:val="32"/>
          <w:lang w:val="en-US" w:eastAsia="zh-CN"/>
        </w:rPr>
        <w:t>运营期污水处理站恶臭废气采取污泥浓缩单元置于密闭厂房内，厂界硫化氢、氨无组织排放执行《恶臭污染物排放标准》（GB1554-93）中二级标准要求</w:t>
      </w:r>
      <w:r>
        <w:rPr>
          <w:rFonts w:hint="eastAsia" w:eastAsia="仿宋_GB2312" w:cs="Times New Roman"/>
          <w:b w:val="0"/>
          <w:bCs/>
          <w:sz w:val="32"/>
          <w:szCs w:val="32"/>
          <w:lang w:val="en-US" w:eastAsia="zh-CN"/>
        </w:rPr>
        <w:t>。</w:t>
      </w:r>
    </w:p>
    <w:p w14:paraId="12ABCF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（二）严格落实水污染防治措施。</w:t>
      </w:r>
      <w:r>
        <w:rPr>
          <w:rFonts w:hint="default" w:ascii="Times New Roman" w:hAnsi="Times New Roman" w:eastAsia="仿宋_GB2312" w:cs="Times New Roman"/>
          <w:sz w:val="32"/>
          <w:szCs w:val="32"/>
          <w:lang w:val="en-US" w:eastAsia="zh-CN"/>
        </w:rPr>
        <w:t>运营期项目生产废水和生活污水经厂区内污水处理站处理后，排放的各污染因子执行《电子工业水污染物排放标准》（GB39731-2020）间接排放标准限值和《关于师市开发区企业执行相关标准的通知》（师市环发〔2021〕7号）的相关要求后，排入园区污水处理厂处理。</w:t>
      </w:r>
    </w:p>
    <w:p w14:paraId="41C2FC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（三）严格落实噪声污染防治措施。运营期项目在采取减振、隔声等降噪防治措施及长距离空气衰减后，厂界四周噪声值</w:t>
      </w:r>
      <w:r>
        <w:rPr>
          <w:rFonts w:hint="eastAsia" w:eastAsia="仿宋_GB2312" w:cs="Times New Roman"/>
          <w:sz w:val="32"/>
          <w:szCs w:val="32"/>
          <w:lang w:val="en-US" w:eastAsia="zh-CN"/>
        </w:rPr>
        <w:t>执行</w:t>
      </w:r>
      <w:r>
        <w:rPr>
          <w:rFonts w:hint="default" w:ascii="Times New Roman" w:hAnsi="Times New Roman" w:eastAsia="仿宋_GB2312" w:cs="Times New Roman"/>
          <w:sz w:val="32"/>
          <w:szCs w:val="32"/>
        </w:rPr>
        <w:t>《工业企业厂界环境噪声排放标准》（GB12348－2008）中</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类标准</w:t>
      </w:r>
      <w:r>
        <w:rPr>
          <w:rFonts w:hint="eastAsia" w:eastAsia="仿宋_GB2312" w:cs="Times New Roman"/>
          <w:sz w:val="32"/>
          <w:szCs w:val="32"/>
          <w:lang w:eastAsia="zh-CN"/>
        </w:rPr>
        <w:t>。</w:t>
      </w:r>
      <w:bookmarkStart w:id="1" w:name="_GoBack"/>
      <w:bookmarkEnd w:id="1"/>
    </w:p>
    <w:p w14:paraId="2A9746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（四）严格落实固体废物分类处置和综合利用措施。</w:t>
      </w:r>
      <w:r>
        <w:rPr>
          <w:rFonts w:hint="default" w:ascii="Times New Roman" w:hAnsi="Times New Roman" w:eastAsia="仿宋_GB2312" w:cs="Times New Roman"/>
          <w:sz w:val="32"/>
          <w:szCs w:val="32"/>
          <w:lang w:val="en-US" w:eastAsia="zh-CN"/>
        </w:rPr>
        <w:t>废机油、磷酸回收系统膜组件、其他酸回收系统膜组件、水质在线设备废液、磷酸铝设备废活性炭</w:t>
      </w:r>
      <w:r>
        <w:rPr>
          <w:rFonts w:hint="eastAsia" w:eastAsia="仿宋_GB2312" w:cs="Times New Roman"/>
          <w:sz w:val="32"/>
          <w:szCs w:val="32"/>
          <w:lang w:val="en-US" w:eastAsia="zh-CN"/>
        </w:rPr>
        <w:t>属于危险废物，收集后暂存于危险废物暂存间分区储存，定期交由有资质的单位处置。一般固体废物中废滤布、浓缩污泥定期送园区一般固废填埋场填埋；不合格铝箔外售其他厂家；原料包装材料外售废品收购站或厂家回收利用；纯水站产生的废活性炭、废膜、废石英砂，其中废活性炭由厂家更换时回收处理，不在厂区堆存，废膜、废石英砂送一般固废填埋场填埋处理；纯水制备污泥当作肥料用于厂区绿化带。</w:t>
      </w:r>
      <w:r>
        <w:rPr>
          <w:rFonts w:hint="default" w:ascii="Times New Roman" w:hAnsi="Times New Roman" w:eastAsia="仿宋_GB2312" w:cs="Times New Roman"/>
          <w:sz w:val="32"/>
          <w:szCs w:val="32"/>
          <w:lang w:val="en-US" w:eastAsia="zh-CN"/>
        </w:rPr>
        <w:t>危险废物的收集、贮存、运输须符合《危险废物收集 贮存 运输技术规范》（HJ2025-2012）及《危险废物贮存污染控制标准》（GB18597-2023）的相关要求</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生活垃圾由环卫部门统一清运处理。</w:t>
      </w:r>
    </w:p>
    <w:p w14:paraId="7AA1C5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w:t>
      </w:r>
      <w:r>
        <w:rPr>
          <w:rFonts w:hint="eastAsia" w:eastAsia="仿宋_GB2312" w:cs="Times New Roman"/>
          <w:bCs/>
          <w:sz w:val="32"/>
          <w:szCs w:val="32"/>
          <w:lang w:val="en-US" w:eastAsia="zh-CN"/>
        </w:rPr>
        <w:t>五</w:t>
      </w:r>
      <w:r>
        <w:rPr>
          <w:rFonts w:hint="default" w:ascii="Times New Roman" w:hAnsi="Times New Roman" w:eastAsia="仿宋_GB2312" w:cs="Times New Roman"/>
          <w:bCs/>
          <w:sz w:val="32"/>
          <w:szCs w:val="32"/>
        </w:rPr>
        <w:t>）强化各项环境风险防范措施，有效防范环境风险。厂内定期开展环境风险应急培训和演练，落实各项应急环境管理措施以及各项风险防范措施，确保风险事故得到有效控制。</w:t>
      </w:r>
    </w:p>
    <w:p w14:paraId="09D236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lang w:eastAsia="zh-CN"/>
        </w:rPr>
        <w:t>（</w:t>
      </w:r>
      <w:r>
        <w:rPr>
          <w:rFonts w:hint="eastAsia" w:eastAsia="仿宋_GB2312" w:cs="Times New Roman"/>
          <w:bCs/>
          <w:sz w:val="32"/>
          <w:szCs w:val="32"/>
          <w:lang w:val="en-US" w:eastAsia="zh-CN"/>
        </w:rPr>
        <w:t>六</w:t>
      </w:r>
      <w:r>
        <w:rPr>
          <w:rFonts w:hint="default" w:ascii="Times New Roman" w:hAnsi="Times New Roman" w:eastAsia="仿宋_GB2312" w:cs="Times New Roman"/>
          <w:bCs/>
          <w:sz w:val="32"/>
          <w:szCs w:val="32"/>
          <w:lang w:eastAsia="zh-CN"/>
        </w:rPr>
        <w:t>）加强施工期环境保护，防止施工废水、扬尘、噪声污染。</w:t>
      </w:r>
    </w:p>
    <w:p w14:paraId="5921489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eastAsia" w:eastAsia="仿宋_GB2312" w:cs="Times New Roman"/>
          <w:bCs/>
          <w:sz w:val="32"/>
          <w:szCs w:val="32"/>
          <w:lang w:eastAsia="zh-CN"/>
        </w:rPr>
        <w:t>（</w:t>
      </w:r>
      <w:r>
        <w:rPr>
          <w:rFonts w:hint="eastAsia" w:eastAsia="仿宋_GB2312" w:cs="Times New Roman"/>
          <w:bCs/>
          <w:sz w:val="32"/>
          <w:szCs w:val="32"/>
          <w:lang w:val="en-US" w:eastAsia="zh-CN"/>
        </w:rPr>
        <w:t>七</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在工程运营过程中，应建立畅通的公众参与平台，加强宣传与沟通工作，及时解决公众提出的合理环境诉求。定期发布企业环境信息，并主动接受社会监督。</w:t>
      </w:r>
    </w:p>
    <w:p w14:paraId="2791F1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四、项目建设必须严格执行配套的环境保护设施与主体工程同时设计、同时施工、同时投产使用的环境保护“三同时”制度。施工招标文件和施工合同招标文件中应明确环保条款和责任，项目竣工后，须按规定程序实施竣工环境保护验收。</w:t>
      </w:r>
    </w:p>
    <w:p w14:paraId="031299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五、环境影响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经批准后，该项目的性质、规模、地点、生产工艺和环境保护措施发生重大变动，且可能导致环境影响显著变化</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特别是不利环境影响加重</w:t>
      </w:r>
      <w:r>
        <w:rPr>
          <w:rFonts w:hint="eastAsia" w:eastAsia="仿宋_GB2312" w:cs="Times New Roman"/>
          <w:bCs/>
          <w:sz w:val="32"/>
          <w:szCs w:val="32"/>
          <w:lang w:eastAsia="zh-CN"/>
        </w:rPr>
        <w:t>）</w:t>
      </w:r>
      <w:r>
        <w:rPr>
          <w:rFonts w:hint="default" w:ascii="Times New Roman" w:hAnsi="Times New Roman" w:eastAsia="仿宋_GB2312" w:cs="Times New Roman"/>
          <w:bCs/>
          <w:sz w:val="32"/>
          <w:szCs w:val="32"/>
        </w:rPr>
        <w:t>的，应当重新报批该项目环境影响评价报告。</w:t>
      </w:r>
    </w:p>
    <w:p w14:paraId="0A711E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color w:val="FF0000"/>
          <w:sz w:val="32"/>
          <w:szCs w:val="32"/>
          <w:highlight w:val="none"/>
        </w:rPr>
      </w:pPr>
      <w:r>
        <w:rPr>
          <w:rFonts w:hint="default" w:ascii="Times New Roman" w:hAnsi="Times New Roman" w:eastAsia="仿宋_GB2312" w:cs="Times New Roman"/>
          <w:bCs/>
          <w:sz w:val="32"/>
          <w:szCs w:val="32"/>
        </w:rPr>
        <w:t>六、在启动生产设施或者在实际排污之前，按照经批准的环境影响评价文件认真梳理并确认各项环境保护措施落实</w:t>
      </w:r>
      <w:r>
        <w:rPr>
          <w:rFonts w:hint="default" w:ascii="Times New Roman" w:hAnsi="Times New Roman" w:eastAsia="仿宋_GB2312" w:cs="Times New Roman"/>
          <w:bCs/>
          <w:color w:val="auto"/>
          <w:sz w:val="32"/>
          <w:szCs w:val="32"/>
        </w:rPr>
        <w:t>后，</w:t>
      </w:r>
      <w:r>
        <w:rPr>
          <w:rFonts w:hint="default" w:ascii="Times New Roman" w:hAnsi="Times New Roman" w:eastAsia="仿宋_GB2312" w:cs="Times New Roman"/>
          <w:bCs/>
          <w:color w:val="auto"/>
          <w:sz w:val="32"/>
          <w:szCs w:val="32"/>
          <w:highlight w:val="none"/>
        </w:rPr>
        <w:t>依法</w:t>
      </w:r>
      <w:r>
        <w:rPr>
          <w:rFonts w:hint="eastAsia" w:eastAsia="仿宋_GB2312" w:cs="Times New Roman"/>
          <w:bCs/>
          <w:color w:val="auto"/>
          <w:sz w:val="32"/>
          <w:szCs w:val="32"/>
          <w:highlight w:val="none"/>
          <w:lang w:val="en-US" w:eastAsia="zh-CN"/>
        </w:rPr>
        <w:t>重新</w:t>
      </w:r>
      <w:r>
        <w:rPr>
          <w:rFonts w:hint="default" w:ascii="Times New Roman" w:hAnsi="Times New Roman" w:eastAsia="仿宋_GB2312" w:cs="Times New Roman"/>
          <w:bCs/>
          <w:color w:val="auto"/>
          <w:sz w:val="32"/>
          <w:szCs w:val="32"/>
          <w:highlight w:val="none"/>
        </w:rPr>
        <w:t>申领排污许可证。</w:t>
      </w:r>
    </w:p>
    <w:p w14:paraId="1E5ED3C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七、胡杨河经济技术开发区应急管理和环境保护局要切实承担事中事后监管主要责任，履行属地监管职责，按照《关于进一步完善建设项目环境保护“三同时”及竣工环境保护自主验收监管工作机制的意见》（环执法〔2021〕70号）要求，加强对该项目环境保护“三同时”及自主验收监管。</w:t>
      </w:r>
    </w:p>
    <w:p w14:paraId="280AE4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八、我局委托师市生态环境保护综合行政执法支队负责该项目的事中事后监管，生态环境监测站按职责开展相关监管工作，我局负责对“三同时”及自主验收监管工作的监督指导。你单位应在接到本批复后20个工作日内，将批准后的环境影响</w:t>
      </w:r>
      <w:r>
        <w:rPr>
          <w:rFonts w:hint="eastAsia" w:eastAsia="仿宋_GB2312" w:cs="Times New Roman"/>
          <w:bCs/>
          <w:sz w:val="32"/>
          <w:szCs w:val="32"/>
          <w:lang w:eastAsia="zh-CN"/>
        </w:rPr>
        <w:t>报告</w:t>
      </w:r>
      <w:r>
        <w:rPr>
          <w:rFonts w:hint="eastAsia" w:eastAsia="仿宋_GB2312" w:cs="Times New Roman"/>
          <w:bCs/>
          <w:sz w:val="32"/>
          <w:szCs w:val="32"/>
          <w:lang w:val="en-US" w:eastAsia="zh-CN"/>
        </w:rPr>
        <w:t>表</w:t>
      </w:r>
      <w:r>
        <w:rPr>
          <w:rFonts w:hint="default" w:ascii="Times New Roman" w:hAnsi="Times New Roman" w:eastAsia="仿宋_GB2312" w:cs="Times New Roman"/>
          <w:bCs/>
          <w:sz w:val="32"/>
          <w:szCs w:val="32"/>
        </w:rPr>
        <w:t>送师市生态环境保护综合行政执法支队、生态环境监测站、胡杨河经济技术开发区应急管理和环境保护局，并按规定接受各级生态环境主管部门的监督检查。</w:t>
      </w:r>
    </w:p>
    <w:p w14:paraId="7AC05405">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03B99F5F">
      <w:pPr>
        <w:keepNext w:val="0"/>
        <w:keepLines w:val="0"/>
        <w:pageBreakBefore w:val="0"/>
        <w:widowControl w:val="0"/>
        <w:kinsoku/>
        <w:wordWrap/>
        <w:overflowPunct/>
        <w:topLinePunct w:val="0"/>
        <w:autoSpaceDE/>
        <w:autoSpaceDN/>
        <w:bidi w:val="0"/>
        <w:adjustRightInd/>
        <w:snapToGrid/>
        <w:spacing w:line="740" w:lineRule="exact"/>
        <w:ind w:firstLine="4480" w:firstLineChars="1400"/>
        <w:textAlignment w:val="auto"/>
        <w:rPr>
          <w:rFonts w:hint="default" w:ascii="Times New Roman" w:hAnsi="Times New Roman" w:eastAsia="仿宋_GB2312" w:cs="Times New Roman"/>
          <w:bCs/>
          <w:sz w:val="32"/>
          <w:szCs w:val="32"/>
        </w:rPr>
      </w:pPr>
    </w:p>
    <w:p w14:paraId="35EA146C">
      <w:pPr>
        <w:spacing w:line="440" w:lineRule="exact"/>
        <w:ind w:firstLine="4800" w:firstLineChars="15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第七师胡杨河市生态环境局</w:t>
      </w:r>
    </w:p>
    <w:p w14:paraId="11AF33CE">
      <w:pPr>
        <w:spacing w:line="440" w:lineRule="exact"/>
        <w:ind w:firstLine="5440" w:firstLineChars="1700"/>
        <w:rPr>
          <w:rFonts w:hint="eastAsia"/>
        </w:rPr>
      </w:pPr>
      <w:r>
        <w:rPr>
          <w:rFonts w:hint="default" w:ascii="Times New Roman" w:hAnsi="Times New Roman" w:eastAsia="仿宋_GB2312" w:cs="Times New Roman"/>
          <w:bCs/>
          <w:sz w:val="32"/>
          <w:szCs w:val="32"/>
        </w:rPr>
        <w:t>202</w:t>
      </w:r>
      <w:r>
        <w:rPr>
          <w:rFonts w:hint="eastAsia" w:eastAsia="仿宋_GB2312" w:cs="Times New Roman"/>
          <w:bCs/>
          <w:sz w:val="32"/>
          <w:szCs w:val="32"/>
          <w:lang w:val="en-US" w:eastAsia="zh-CN"/>
        </w:rPr>
        <w:t>5</w:t>
      </w:r>
      <w:r>
        <w:rPr>
          <w:rFonts w:hint="default" w:ascii="Times New Roman" w:hAnsi="Times New Roman" w:eastAsia="仿宋_GB2312" w:cs="Times New Roman"/>
          <w:bCs/>
          <w:sz w:val="32"/>
          <w:szCs w:val="32"/>
        </w:rPr>
        <w:t>年</w:t>
      </w:r>
      <w:r>
        <w:rPr>
          <w:rFonts w:hint="eastAsia" w:eastAsia="仿宋_GB2312" w:cs="Times New Roman"/>
          <w:bCs/>
          <w:sz w:val="32"/>
          <w:szCs w:val="32"/>
          <w:lang w:val="en-US" w:eastAsia="zh-CN"/>
        </w:rPr>
        <w:t>12</w:t>
      </w:r>
      <w:r>
        <w:rPr>
          <w:rFonts w:hint="default" w:ascii="Times New Roman" w:hAnsi="Times New Roman" w:eastAsia="仿宋_GB2312" w:cs="Times New Roman"/>
          <w:bCs/>
          <w:sz w:val="32"/>
          <w:szCs w:val="32"/>
        </w:rPr>
        <w:t>月</w:t>
      </w:r>
      <w:r>
        <w:rPr>
          <w:rFonts w:hint="eastAsia" w:eastAsia="仿宋_GB2312" w:cs="Times New Roman"/>
          <w:bCs/>
          <w:sz w:val="32"/>
          <w:szCs w:val="32"/>
          <w:lang w:val="en-US" w:eastAsia="zh-CN"/>
        </w:rPr>
        <w:t>2</w:t>
      </w:r>
      <w:r>
        <w:rPr>
          <w:rFonts w:hint="default" w:ascii="Times New Roman" w:hAnsi="Times New Roman" w:eastAsia="仿宋_GB2312" w:cs="Times New Roman"/>
          <w:bCs/>
          <w:sz w:val="32"/>
          <w:szCs w:val="32"/>
        </w:rPr>
        <w:t>日</w:t>
      </w:r>
    </w:p>
    <w:p w14:paraId="557A7685">
      <w:pPr>
        <w:rPr>
          <w:rFonts w:hint="eastAsia"/>
        </w:rPr>
      </w:pPr>
    </w:p>
    <w:p w14:paraId="2407869A">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867767E">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3E1CDDD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657DE024">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414C626D">
      <w:pPr>
        <w:keepNext w:val="0"/>
        <w:keepLines w:val="0"/>
        <w:pageBreakBefore w:val="0"/>
        <w:widowControl w:val="0"/>
        <w:kinsoku/>
        <w:wordWrap/>
        <w:overflowPunct/>
        <w:topLinePunct w:val="0"/>
        <w:autoSpaceDE/>
        <w:autoSpaceDN/>
        <w:bidi w:val="0"/>
        <w:adjustRightInd/>
        <w:snapToGrid/>
        <w:spacing w:line="440" w:lineRule="exact"/>
        <w:ind w:right="210" w:rightChars="100"/>
        <w:textAlignment w:val="auto"/>
        <w:rPr>
          <w:rFonts w:hint="default" w:ascii="Times New Roman" w:hAnsi="Times New Roman" w:eastAsia="仿宋_GB2312" w:cs="Times New Roman"/>
          <w:sz w:val="28"/>
          <w:szCs w:val="28"/>
        </w:rPr>
      </w:pPr>
    </w:p>
    <w:p w14:paraId="1D36D6CB">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default" w:ascii="Times New Roman" w:hAnsi="Times New Roman" w:eastAsia="仿宋_GB2312" w:cs="Times New Roman"/>
          <w:sz w:val="28"/>
          <w:szCs w:val="28"/>
        </w:rPr>
      </w:pPr>
    </w:p>
    <w:p w14:paraId="5F9E9536">
      <w:pPr>
        <w:keepNext w:val="0"/>
        <w:keepLines w:val="0"/>
        <w:pageBreakBefore w:val="0"/>
        <w:widowControl w:val="0"/>
        <w:kinsoku/>
        <w:wordWrap/>
        <w:overflowPunct/>
        <w:topLinePunct w:val="0"/>
        <w:autoSpaceDE/>
        <w:autoSpaceDN/>
        <w:bidi w:val="0"/>
        <w:adjustRightInd/>
        <w:snapToGrid/>
        <w:spacing w:line="440" w:lineRule="exact"/>
        <w:ind w:left="0" w:right="210" w:rightChars="100" w:hanging="840" w:hangingChars="300"/>
        <w:textAlignment w:val="auto"/>
        <w:rPr>
          <w:rFonts w:hint="eastAsia" w:ascii="仿宋_GB2312" w:hAnsi="仿宋_GB2312" w:eastAsia="仿宋_GB2312" w:cs="仿宋_GB2312"/>
          <w:sz w:val="28"/>
          <w:szCs w:val="28"/>
          <w:lang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2540</wp:posOffset>
                </wp:positionV>
                <wp:extent cx="5901055" cy="0"/>
                <wp:effectExtent l="0" t="9525" r="4445" b="9525"/>
                <wp:wrapNone/>
                <wp:docPr id="1" name="直接连接符 5"/>
                <wp:cNvGraphicFramePr/>
                <a:graphic xmlns:a="http://schemas.openxmlformats.org/drawingml/2006/main">
                  <a:graphicData uri="http://schemas.microsoft.com/office/word/2010/wordprocessingShape">
                    <wps:wsp>
                      <wps:cNvCnPr/>
                      <wps:spPr>
                        <a:xfrm>
                          <a:off x="0" y="0"/>
                          <a:ext cx="5901055"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5" o:spid="_x0000_s1026" o:spt="32" type="#_x0000_t32" style="position:absolute;left:0pt;margin-left:-11.2pt;margin-top:0.2pt;height:0pt;width:464.65pt;z-index:251660288;mso-width-relative:page;mso-height-relative:page;" filled="f" stroked="t" coordsize="21600,21600" o:gfxdata="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wRcddEAAAAFAQAADwAAAAAAAAABACAAAAAiAAAAZHJzL2Rvd25yZXYueG1sUEsBAhQA&#10;FAAAAAgAh07iQHFWSkj5AQAA8QMAAA4AAAAAAAAAAQAgAAAAIAEAAGRycy9lMm9Eb2MueG1sUEsF&#10;BgAAAAAGAAYAWQEAAIsFAAAAAA==&#10;">
                <v:fill on="f" focussize="0,0"/>
                <v:stroke weight="1.5pt" color="#000000" joinstyle="round"/>
                <v:imagedata o:title=""/>
                <o:lock v:ext="edit" aspectratio="f"/>
              </v:shape>
            </w:pict>
          </mc:Fallback>
        </mc:AlternateContent>
      </w:r>
      <w:r>
        <w:rPr>
          <w:rFonts w:hint="default" w:ascii="Times New Roman" w:hAnsi="Times New Roman" w:eastAsia="仿宋_GB2312" w:cs="Times New Roman"/>
          <w:sz w:val="28"/>
          <w:szCs w:val="28"/>
        </w:rPr>
        <w:t>抄送</w:t>
      </w:r>
      <w:r>
        <w:rPr>
          <w:rFonts w:hint="eastAsia" w:ascii="仿宋_GB2312" w:hAnsi="仿宋_GB2312" w:eastAsia="仿宋_GB2312" w:cs="仿宋_GB2312"/>
          <w:sz w:val="28"/>
          <w:szCs w:val="28"/>
        </w:rPr>
        <w:t>：师市生态环境保护综合行政执法支队、生态环境监测站、胡杨河经济技术开发区应急管理和环境保护局</w:t>
      </w:r>
      <w:r>
        <w:rPr>
          <w:rFonts w:hint="eastAsia" w:ascii="仿宋_GB2312" w:hAnsi="仿宋_GB2312" w:eastAsia="仿宋_GB2312" w:cs="仿宋_GB2312"/>
          <w:sz w:val="28"/>
          <w:szCs w:val="28"/>
          <w:lang w:eastAsia="zh-CN"/>
        </w:rPr>
        <w:t>。</w:t>
      </w:r>
    </w:p>
    <w:p w14:paraId="077E45AA">
      <w:pPr>
        <w:spacing w:line="600" w:lineRule="exact"/>
        <w:ind w:right="210" w:rightChars="100"/>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371475</wp:posOffset>
                </wp:positionV>
                <wp:extent cx="5930265" cy="1270"/>
                <wp:effectExtent l="0" t="9525" r="13335" b="17780"/>
                <wp:wrapNone/>
                <wp:docPr id="3" name="直接连接符 4"/>
                <wp:cNvGraphicFramePr/>
                <a:graphic xmlns:a="http://schemas.openxmlformats.org/drawingml/2006/main">
                  <a:graphicData uri="http://schemas.microsoft.com/office/word/2010/wordprocessingShape">
                    <wps:wsp>
                      <wps:cNvCnPr/>
                      <wps:spPr>
                        <a:xfrm flipV="1">
                          <a:off x="0" y="0"/>
                          <a:ext cx="5930265" cy="127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4" o:spid="_x0000_s1026" o:spt="32" type="#_x0000_t32" style="position:absolute;left:0pt;flip:y;margin-left:-12pt;margin-top:29.25pt;height:0.1pt;width:466.95pt;z-index:251662336;mso-width-relative:page;mso-height-relative:page;" filled="f" stroked="t" coordsize="21600,21600" o:gfxdata="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hDXPtgAAAAJAQAADwAAAAAAAAABACAAAAAiAAAA&#10;ZHJzL2Rvd25yZXYueG1sUEsBAhQAFAAAAAgAh07iQN+/8UIHAgAA/gMAAA4AAAAAAAAAAQAgAAAA&#10;JwEAAGRycy9lMm9Eb2MueG1sUEsFBgAAAAAGAAYAWQEAAKAFAAAAAA==&#10;">
                <v:fill on="f" focussize="0,0"/>
                <v:stroke weight="1.5pt"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0</wp:posOffset>
                </wp:positionV>
                <wp:extent cx="5882640" cy="0"/>
                <wp:effectExtent l="0" t="0" r="0" b="0"/>
                <wp:wrapNone/>
                <wp:docPr id="2" name="直接连接符 3"/>
                <wp:cNvGraphicFramePr/>
                <a:graphic xmlns:a="http://schemas.openxmlformats.org/drawingml/2006/main">
                  <a:graphicData uri="http://schemas.microsoft.com/office/word/2010/wordprocessingShape">
                    <wps:wsp>
                      <wps:cNvCnPr/>
                      <wps:spPr>
                        <a:xfrm>
                          <a:off x="0" y="0"/>
                          <a:ext cx="5882640"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1.25pt;margin-top:0pt;height:0pt;width:463.2pt;z-index:251661312;mso-width-relative:page;mso-height-relative:page;" filled="f" stroked="t" coordsize="21600,21600" o:gfxdata="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Dgu0c3UAAAABQEAAA8AAAAAAAAAAQAgAAAAIgAAAGRycy9kb3ducmV2LnhtbFBL&#10;AQIUABQAAAAIAIdO4kDtBQzC+gEAAPA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w:t xml:space="preserve">兵团第七师胡杨河市生态环境局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日印</w:t>
      </w:r>
      <w:r>
        <w:rPr>
          <w:rFonts w:hint="eastAsia" w:ascii="仿宋_GB2312" w:hAnsi="仿宋_GB2312" w:eastAsia="仿宋_GB2312" w:cs="仿宋_GB2312"/>
          <w:sz w:val="28"/>
          <w:szCs w:val="28"/>
          <w:lang w:val="en-US" w:eastAsia="zh-CN"/>
        </w:rPr>
        <w:t>发</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59BB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J/59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C8573D7">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ZTQ2MWYyYTY5MDNmZDNlOGVlYzE1OWZlNTE2NTUifQ=="/>
  </w:docVars>
  <w:rsids>
    <w:rsidRoot w:val="19A61553"/>
    <w:rsid w:val="00301E8D"/>
    <w:rsid w:val="006F367F"/>
    <w:rsid w:val="00742AA9"/>
    <w:rsid w:val="01B110AA"/>
    <w:rsid w:val="025F2F6C"/>
    <w:rsid w:val="03E07A24"/>
    <w:rsid w:val="0402172C"/>
    <w:rsid w:val="06103791"/>
    <w:rsid w:val="064F49ED"/>
    <w:rsid w:val="07EF0236"/>
    <w:rsid w:val="0A0D21E1"/>
    <w:rsid w:val="0A6D7B38"/>
    <w:rsid w:val="0A717628"/>
    <w:rsid w:val="0BD55735"/>
    <w:rsid w:val="0CD67C16"/>
    <w:rsid w:val="0CEB02C3"/>
    <w:rsid w:val="0DEC6201"/>
    <w:rsid w:val="0E927B6D"/>
    <w:rsid w:val="0F3A0A84"/>
    <w:rsid w:val="0F8E2A2A"/>
    <w:rsid w:val="0F9811B3"/>
    <w:rsid w:val="10415B91"/>
    <w:rsid w:val="13222B5F"/>
    <w:rsid w:val="1367781A"/>
    <w:rsid w:val="13B33653"/>
    <w:rsid w:val="15E46F00"/>
    <w:rsid w:val="19A61553"/>
    <w:rsid w:val="1ABC044C"/>
    <w:rsid w:val="1CB3762C"/>
    <w:rsid w:val="1D4B3D09"/>
    <w:rsid w:val="1E1F706C"/>
    <w:rsid w:val="1E222CBC"/>
    <w:rsid w:val="1E2F2A87"/>
    <w:rsid w:val="1F0C482E"/>
    <w:rsid w:val="1F6410B2"/>
    <w:rsid w:val="2177331E"/>
    <w:rsid w:val="21A1039B"/>
    <w:rsid w:val="24C7636B"/>
    <w:rsid w:val="24F3437F"/>
    <w:rsid w:val="274A3283"/>
    <w:rsid w:val="27E6038A"/>
    <w:rsid w:val="293E30BA"/>
    <w:rsid w:val="29ED02E2"/>
    <w:rsid w:val="2A0C4820"/>
    <w:rsid w:val="2BE9171D"/>
    <w:rsid w:val="2DB66F7C"/>
    <w:rsid w:val="2DB71358"/>
    <w:rsid w:val="2E6647A7"/>
    <w:rsid w:val="2FE778C1"/>
    <w:rsid w:val="30766E97"/>
    <w:rsid w:val="308621F1"/>
    <w:rsid w:val="319A0963"/>
    <w:rsid w:val="31DB1B10"/>
    <w:rsid w:val="31DE6AA2"/>
    <w:rsid w:val="325A00D3"/>
    <w:rsid w:val="32EA1B39"/>
    <w:rsid w:val="334B0167"/>
    <w:rsid w:val="3390201E"/>
    <w:rsid w:val="34552334"/>
    <w:rsid w:val="345D63A4"/>
    <w:rsid w:val="34DB0164"/>
    <w:rsid w:val="34DB0F65"/>
    <w:rsid w:val="35222615"/>
    <w:rsid w:val="35335B87"/>
    <w:rsid w:val="3763266A"/>
    <w:rsid w:val="37C91FA2"/>
    <w:rsid w:val="389B146D"/>
    <w:rsid w:val="390336C5"/>
    <w:rsid w:val="39275D95"/>
    <w:rsid w:val="39586DFD"/>
    <w:rsid w:val="3B901665"/>
    <w:rsid w:val="3E3F2FBE"/>
    <w:rsid w:val="3E5263F1"/>
    <w:rsid w:val="3E8F41EC"/>
    <w:rsid w:val="3ED656D0"/>
    <w:rsid w:val="412344D1"/>
    <w:rsid w:val="41E12475"/>
    <w:rsid w:val="41F36599"/>
    <w:rsid w:val="425C5EED"/>
    <w:rsid w:val="4475215D"/>
    <w:rsid w:val="44AC37CB"/>
    <w:rsid w:val="465316EE"/>
    <w:rsid w:val="46C2653A"/>
    <w:rsid w:val="46CD5F17"/>
    <w:rsid w:val="46F76C15"/>
    <w:rsid w:val="47623535"/>
    <w:rsid w:val="497529D7"/>
    <w:rsid w:val="49FE24F4"/>
    <w:rsid w:val="4AD72671"/>
    <w:rsid w:val="4B0E2331"/>
    <w:rsid w:val="4B4732F2"/>
    <w:rsid w:val="4B9E0BAE"/>
    <w:rsid w:val="4BE111CF"/>
    <w:rsid w:val="4D3248D1"/>
    <w:rsid w:val="4DF46F02"/>
    <w:rsid w:val="4E1C7BCA"/>
    <w:rsid w:val="4E23273D"/>
    <w:rsid w:val="4E2A19FE"/>
    <w:rsid w:val="4E8B592A"/>
    <w:rsid w:val="5144471C"/>
    <w:rsid w:val="519163C1"/>
    <w:rsid w:val="51CA44D0"/>
    <w:rsid w:val="52016A0C"/>
    <w:rsid w:val="521E31BF"/>
    <w:rsid w:val="53732803"/>
    <w:rsid w:val="5445681C"/>
    <w:rsid w:val="54E21B59"/>
    <w:rsid w:val="55F63B99"/>
    <w:rsid w:val="576461D9"/>
    <w:rsid w:val="5786035A"/>
    <w:rsid w:val="58D34BF9"/>
    <w:rsid w:val="593C3F2A"/>
    <w:rsid w:val="598D4786"/>
    <w:rsid w:val="59BB12F3"/>
    <w:rsid w:val="5A0B54BA"/>
    <w:rsid w:val="5A132EDD"/>
    <w:rsid w:val="5A2854B0"/>
    <w:rsid w:val="5AD563E4"/>
    <w:rsid w:val="5ADB6D32"/>
    <w:rsid w:val="5BBE331C"/>
    <w:rsid w:val="5E116A2B"/>
    <w:rsid w:val="5EAF46C2"/>
    <w:rsid w:val="5EE50BC0"/>
    <w:rsid w:val="5F304919"/>
    <w:rsid w:val="5FCF6BF0"/>
    <w:rsid w:val="609D79A4"/>
    <w:rsid w:val="60BB7E2A"/>
    <w:rsid w:val="6109328C"/>
    <w:rsid w:val="612B239E"/>
    <w:rsid w:val="623C143F"/>
    <w:rsid w:val="62A019CE"/>
    <w:rsid w:val="62E3579C"/>
    <w:rsid w:val="644952F5"/>
    <w:rsid w:val="651D40D0"/>
    <w:rsid w:val="6703077D"/>
    <w:rsid w:val="679C6136"/>
    <w:rsid w:val="68152516"/>
    <w:rsid w:val="698B1E19"/>
    <w:rsid w:val="6CC3509F"/>
    <w:rsid w:val="6F2512C7"/>
    <w:rsid w:val="6F4158DC"/>
    <w:rsid w:val="708446DD"/>
    <w:rsid w:val="7375588F"/>
    <w:rsid w:val="73E5637C"/>
    <w:rsid w:val="75006CB2"/>
    <w:rsid w:val="7516167C"/>
    <w:rsid w:val="75F30136"/>
    <w:rsid w:val="76017E90"/>
    <w:rsid w:val="79AC0800"/>
    <w:rsid w:val="7BE007E5"/>
    <w:rsid w:val="7BE262C5"/>
    <w:rsid w:val="7F4A4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Body Text"/>
    <w:basedOn w:val="1"/>
    <w:next w:val="1"/>
    <w:qFormat/>
    <w:uiPriority w:val="0"/>
    <w:rPr>
      <w:rFonts w:eastAsia="华文中宋"/>
      <w:b/>
      <w:bCs/>
      <w:w w:val="90"/>
      <w:sz w:val="4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List"/>
    <w:basedOn w:val="1"/>
    <w:qFormat/>
    <w:uiPriority w:val="0"/>
    <w:pPr>
      <w:ind w:left="200" w:hanging="200" w:hangingChars="200"/>
    </w:pPr>
  </w:style>
  <w:style w:type="paragraph" w:styleId="6">
    <w:name w:val="footnote text"/>
    <w:basedOn w:val="1"/>
    <w:next w:val="2"/>
    <w:unhideWhenUsed/>
    <w:qFormat/>
    <w:uiPriority w:val="99"/>
    <w:pPr>
      <w:snapToGrid w:val="0"/>
      <w:jc w:val="left"/>
    </w:pPr>
    <w:rPr>
      <w:rFonts w:ascii="Calibri" w:hAnsi="Calibri" w:eastAsia="仿宋" w:cs="Times New Roman"/>
      <w:sz w:val="18"/>
      <w:szCs w:val="18"/>
    </w:rPr>
  </w:style>
  <w:style w:type="paragraph" w:styleId="7">
    <w:name w:val="Body Text 2"/>
    <w:basedOn w:val="1"/>
    <w:unhideWhenUsed/>
    <w:qFormat/>
    <w:uiPriority w:val="99"/>
    <w:pPr>
      <w:spacing w:after="120" w:line="480" w:lineRule="auto"/>
    </w:pPr>
  </w:style>
  <w:style w:type="paragraph" w:customStyle="1" w:styleId="10">
    <w:name w:val="Default"/>
    <w:basedOn w:val="11"/>
    <w:next w:val="1"/>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2">
    <w:name w:val="纯文本1"/>
    <w:basedOn w:val="1"/>
    <w:qFormat/>
    <w:uiPriority w:val="0"/>
    <w:pPr>
      <w:adjustRightInd w:val="0"/>
      <w:textAlignment w:val="baseline"/>
    </w:pPr>
    <w:rPr>
      <w:rFonts w:ascii="宋体" w:hAnsi="Courier New"/>
      <w:szCs w:val="20"/>
    </w:rPr>
  </w:style>
  <w:style w:type="paragraph" w:customStyle="1" w:styleId="13">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1906</Words>
  <Characters>2008</Characters>
  <Lines>0</Lines>
  <Paragraphs>0</Paragraphs>
  <TotalTime>0</TotalTime>
  <ScaleCrop>false</ScaleCrop>
  <LinksUpToDate>false</LinksUpToDate>
  <CharactersWithSpaces>2056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2024-08-23T02:46:00Z</dcterms:created>
  <dc:creator>Administrator</dc:creator>
  <cp:lastModifiedBy>风的自由</cp:lastModifiedBy>
  <cp:lastPrinted>2025-02-07T08:04:00Z</cp:lastPrinted>
  <dcterms:modified xsi:type="dcterms:W3CDTF">2025-12-02T02:59:42Z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81E0BCDC882E44BE9908F3FBECDAC1D2_13</vt:lpwstr>
  </property>
  <property fmtid="{D5CDD505-2E9C-101B-9397-08002B2CF9AE}" pid="4" name="KSOTemplateDocerSaveRecord">
    <vt:lpwstr>eyJoZGlkIjoiODBjNzYxYmIzOWJkMDlmNzJmZjdjMmNkNDkzMGYxZDkiLCJ1c2VySWQiOiI1NTE5NjI2NTYifQ==</vt:lpwstr>
  </property>
</Properties>
</file>