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8662">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72AD17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53</w:t>
      </w:r>
      <w:r>
        <w:rPr>
          <w:rFonts w:hint="default" w:ascii="Times New Roman" w:hAnsi="Times New Roman" w:eastAsia="仿宋_GB2312" w:cs="Times New Roman"/>
          <w:snapToGrid w:val="0"/>
          <w:kern w:val="0"/>
          <w:sz w:val="32"/>
          <w:szCs w:val="32"/>
        </w:rPr>
        <w:t>号</w:t>
      </w:r>
    </w:p>
    <w:p w14:paraId="3A98C3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508EAD25">
      <w:pPr>
        <w:spacing w:line="600" w:lineRule="exact"/>
        <w:jc w:val="center"/>
        <w:rPr>
          <w:rFonts w:hint="eastAsia" w:ascii="方正小标宋简体" w:hAnsi="宋体" w:eastAsia="方正小标宋简体"/>
          <w:bCs/>
          <w:snapToGrid w:val="0"/>
          <w:kern w:val="0"/>
          <w:sz w:val="44"/>
          <w:szCs w:val="44"/>
          <w:lang w:val="zh-CN"/>
        </w:rPr>
      </w:pPr>
      <w:bookmarkStart w:id="1" w:name="_GoBack"/>
      <w:r>
        <w:rPr>
          <w:rFonts w:hint="eastAsia" w:ascii="方正小标宋简体" w:hAnsi="宋体" w:eastAsia="方正小标宋简体"/>
          <w:bCs/>
          <w:snapToGrid w:val="0"/>
          <w:kern w:val="0"/>
          <w:sz w:val="44"/>
          <w:szCs w:val="44"/>
        </w:rPr>
        <w:t>关于</w:t>
      </w:r>
      <w:r>
        <w:rPr>
          <w:rFonts w:hint="eastAsia" w:ascii="Times New Roman" w:hAnsi="Times New Roman" w:eastAsia="方正小标宋简体" w:cs="Times New Roman"/>
          <w:bCs/>
          <w:color w:val="auto"/>
          <w:sz w:val="44"/>
          <w:szCs w:val="44"/>
          <w:lang w:val="en-US" w:eastAsia="zh-CN"/>
        </w:rPr>
        <w:t>国电晶诺10万千瓦光伏发电项目</w:t>
      </w:r>
      <w:r>
        <w:rPr>
          <w:rFonts w:hint="eastAsia" w:ascii="方正小标宋简体" w:hAnsi="宋体" w:eastAsia="方正小标宋简体"/>
          <w:bCs/>
          <w:snapToGrid w:val="0"/>
          <w:kern w:val="0"/>
          <w:sz w:val="44"/>
          <w:szCs w:val="44"/>
          <w:lang w:val="zh-CN"/>
        </w:rPr>
        <w:t>环境</w:t>
      </w:r>
    </w:p>
    <w:p w14:paraId="3780CAF5">
      <w:pPr>
        <w:spacing w:line="600" w:lineRule="exact"/>
        <w:jc w:val="center"/>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bookmarkEnd w:id="1"/>
    </w:p>
    <w:p w14:paraId="42D8EB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221A86A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ja-JP"/>
        </w:rPr>
        <w:t>国电电力晶诺（胡杨河）新能源开发有限公司</w:t>
      </w:r>
      <w:r>
        <w:rPr>
          <w:rFonts w:hint="default" w:ascii="Times New Roman" w:hAnsi="Times New Roman" w:eastAsia="仿宋_GB2312" w:cs="Times New Roman"/>
          <w:sz w:val="32"/>
          <w:szCs w:val="32"/>
        </w:rPr>
        <w:t>：</w:t>
      </w:r>
    </w:p>
    <w:p w14:paraId="45C29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en-US" w:eastAsia="zh-CN"/>
        </w:rPr>
        <w:t>国电晶诺10万千瓦光伏发电项目</w:t>
      </w:r>
      <w:r>
        <w:rPr>
          <w:rFonts w:hint="default" w:ascii="Times New Roman" w:hAnsi="Times New Roman" w:eastAsia="仿宋_GB2312" w:cs="Times New Roman"/>
          <w:sz w:val="32"/>
          <w:szCs w:val="32"/>
        </w:rPr>
        <w:t>&gt;的请示》收悉。经研究，批复如下：</w:t>
      </w:r>
    </w:p>
    <w:p w14:paraId="5166F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位于第七师130团14连，项目区中心地理位置坐标为</w:t>
      </w:r>
      <w:bookmarkStart w:id="0" w:name="_Hlk180516248"/>
      <w:r>
        <w:rPr>
          <w:rFonts w:hint="default" w:ascii="Times New Roman" w:hAnsi="Times New Roman" w:eastAsia="仿宋_GB2312" w:cs="Times New Roman"/>
          <w:sz w:val="32"/>
          <w:szCs w:val="32"/>
          <w:lang w:val="en-US" w:eastAsia="zh-CN"/>
        </w:rPr>
        <w:t>东经84°54′55.162″，北纬44°46′59.351″。</w:t>
      </w:r>
      <w:bookmarkEnd w:id="0"/>
      <w:r>
        <w:rPr>
          <w:rFonts w:hint="default" w:ascii="Times New Roman" w:hAnsi="Times New Roman" w:eastAsia="仿宋_GB2312" w:cs="Times New Roman"/>
          <w:sz w:val="32"/>
          <w:szCs w:val="32"/>
          <w:lang w:val="en-US" w:eastAsia="zh-CN"/>
        </w:rPr>
        <w:t>项目为新建工程，直流侧总装机容量116.0575兆瓦，拟布置安装185692块单块容量为625瓦的光伏组件。每个光伏串列由26块组件串联组成。32个光伏发电单元分5回35千伏集电线路接入升压站35千伏母线，4个储能系统单元通过1回110千伏线路接入蓝天变最终汇集晶诺220千伏变电站，将光伏电力经110千伏输电线路送至胡杨河经开区晶诺企业厂区新增用电负荷消纳。总发电量约为361268.3万千瓦时</w:t>
      </w:r>
      <w:r>
        <w:rPr>
          <w:rFonts w:hint="eastAsia" w:eastAsia="仿宋_GB2312" w:cs="Times New Roman"/>
          <w:sz w:val="32"/>
          <w:szCs w:val="32"/>
          <w:lang w:val="en-US" w:eastAsia="zh-CN"/>
        </w:rPr>
        <w:t>。项目总投资36700万元，其中环保投资16万元，占总投资的0.04%。</w:t>
      </w:r>
    </w:p>
    <w:p w14:paraId="7E114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6AF41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67480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（一）严格落实生态保护措施。</w:t>
      </w:r>
      <w:r>
        <w:rPr>
          <w:rFonts w:hint="default" w:ascii="Times New Roman" w:hAnsi="Times New Roman" w:eastAsia="仿宋_GB2312" w:cs="Times New Roman"/>
          <w:sz w:val="32"/>
          <w:szCs w:val="32"/>
          <w:highlight w:val="none"/>
          <w:lang w:val="en-US" w:eastAsia="zh-CN"/>
        </w:rPr>
        <w:t>控制检修道路占地面积；在太阳能电池板遮挡较严重区域，种植生长能力强、受光照制约较小的草本植物；对工作人员和队伍进行爱护环境、保护野生动植物的宣传教育，禁止捕杀野生动物，破坏野生植物；建设单位预留生境恢复资金，监督生态环境保护措施的实施效果；激励工作人员的生态保护行为，加强管理与宣传教育。</w:t>
      </w:r>
    </w:p>
    <w:p w14:paraId="411CA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光伏板清洗废水不含清洗剂，就地自然蒸发。</w:t>
      </w:r>
    </w:p>
    <w:p w14:paraId="144CE8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w:t>
      </w:r>
      <w:r>
        <w:rPr>
          <w:rFonts w:hint="default" w:ascii="Times New Roman" w:hAnsi="Times New Roman" w:eastAsia="仿宋_GB2312" w:cs="Times New Roman"/>
          <w:sz w:val="32"/>
          <w:szCs w:val="32"/>
          <w:lang w:val="en-US" w:eastAsia="zh-CN"/>
        </w:rPr>
        <w:t>集中式箱逆变一体机、储能变流升压一体机、电池舱</w:t>
      </w:r>
      <w:r>
        <w:rPr>
          <w:rFonts w:hint="default" w:ascii="Times New Roman" w:hAnsi="Times New Roman" w:eastAsia="仿宋_GB2312" w:cs="Times New Roman"/>
          <w:sz w:val="32"/>
          <w:szCs w:val="32"/>
        </w:rPr>
        <w:t>安装基础减振垫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定期维护设备，确保设备运行状态良好。厂界噪声排放</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《工业企业厂界环境噪声排放标准》（GB12348-2008）中</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类标准</w:t>
      </w:r>
      <w:r>
        <w:rPr>
          <w:rFonts w:hint="default" w:ascii="Times New Roman" w:hAnsi="Times New Roman" w:eastAsia="仿宋_GB2312" w:cs="Times New Roman"/>
          <w:sz w:val="32"/>
          <w:szCs w:val="32"/>
          <w:lang w:val="en-US" w:eastAsia="zh-CN"/>
        </w:rPr>
        <w:t>限值</w:t>
      </w:r>
      <w:r>
        <w:rPr>
          <w:rFonts w:hint="default" w:ascii="Times New Roman" w:hAnsi="Times New Roman" w:eastAsia="仿宋_GB2312" w:cs="Times New Roman"/>
          <w:sz w:val="32"/>
          <w:szCs w:val="32"/>
        </w:rPr>
        <w:t>要求。</w:t>
      </w:r>
    </w:p>
    <w:p w14:paraId="2A974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w:t>
      </w:r>
      <w:r>
        <w:rPr>
          <w:rFonts w:hint="default" w:ascii="Times New Roman" w:hAnsi="Times New Roman" w:eastAsia="仿宋_GB2312" w:cs="Times New Roman"/>
          <w:sz w:val="32"/>
          <w:szCs w:val="32"/>
          <w:lang w:val="en-US" w:eastAsia="zh-CN"/>
        </w:rPr>
        <w:t>废变压器油</w:t>
      </w:r>
      <w:r>
        <w:rPr>
          <w:rFonts w:hint="eastAsia" w:eastAsia="仿宋_GB2312" w:cs="Times New Roman"/>
          <w:sz w:val="32"/>
          <w:szCs w:val="32"/>
          <w:lang w:val="en-US" w:eastAsia="zh-CN"/>
        </w:rPr>
        <w:t>、</w:t>
      </w:r>
      <w:r>
        <w:rPr>
          <w:rFonts w:hint="eastAsia" w:ascii="Times New Roman" w:hAnsi="Times New Roman" w:eastAsia="仿宋_GB2312" w:cs="Times New Roman"/>
          <w:color w:val="auto"/>
          <w:kern w:val="2"/>
          <w:sz w:val="32"/>
          <w:szCs w:val="32"/>
          <w:highlight w:val="none"/>
          <w:lang w:val="en-US" w:eastAsia="zh-CN" w:bidi="ar-SA"/>
        </w:rPr>
        <w:t>含油抹布</w:t>
      </w:r>
      <w:r>
        <w:rPr>
          <w:rFonts w:hint="eastAsia" w:eastAsia="仿宋_GB2312" w:cs="Times New Roman"/>
          <w:sz w:val="32"/>
          <w:szCs w:val="32"/>
          <w:lang w:val="en-US" w:eastAsia="zh-CN"/>
        </w:rPr>
        <w:t>属于危险废物，</w:t>
      </w:r>
      <w:r>
        <w:rPr>
          <w:rFonts w:hint="eastAsia" w:ascii="Times New Roman" w:hAnsi="Times New Roman" w:eastAsia="仿宋_GB2312" w:cs="Times New Roman"/>
          <w:color w:val="auto"/>
          <w:kern w:val="2"/>
          <w:sz w:val="32"/>
          <w:szCs w:val="32"/>
          <w:highlight w:val="none"/>
          <w:lang w:val="en-US" w:eastAsia="zh-CN" w:bidi="ar-SA"/>
        </w:rPr>
        <w:t>分类收集后依托110千伏升压汇集站的危险废物贮存库暂存，定期交由有资质单位处置</w:t>
      </w:r>
      <w:r>
        <w:rPr>
          <w:rFonts w:hint="eastAsia" w:eastAsia="仿宋_GB2312" w:cs="Times New Roman"/>
          <w:sz w:val="32"/>
          <w:szCs w:val="32"/>
          <w:lang w:val="en-US" w:eastAsia="zh-CN"/>
        </w:rPr>
        <w:t>。一般固体废物中废光伏太阳能电板及组件、废旧磷酸铁锂电池交由专业回收企业回收处理，不在场内暂存。</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生活垃圾由环卫部门统一清运处理。</w:t>
      </w:r>
    </w:p>
    <w:p w14:paraId="2A7E7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严格落实地下水及土壤污染防治措施。按照源头防控、分区防治、污染监控、应急响应的原则进行地下水污染防治。严格按照导则要求，落实分区防渗和监控措施，对32台集中式箱逆变一体机区、事故油池进行重点防渗。对储能区进行一般防渗。</w:t>
      </w:r>
    </w:p>
    <w:p w14:paraId="7AA1C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）强化各项环境风险防范措施，有效防范环境风险。定期开展环境风险应急培训和演练，落实各项应急环境管理措施以及各项风险防范措施，确保风险事故得到有效控制。</w:t>
      </w:r>
    </w:p>
    <w:p w14:paraId="09D236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）加强施工期环境保护，防止施工废水、扬尘、噪声污染、水土流失和生态破坏。</w:t>
      </w:r>
    </w:p>
    <w:p w14:paraId="59214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2791F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03129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1E5ED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、1</w:t>
      </w:r>
      <w:r>
        <w:rPr>
          <w:rFonts w:hint="eastAsia" w:eastAsia="仿宋_GB2312" w:cs="Times New Roman"/>
          <w:bCs/>
          <w:sz w:val="32"/>
          <w:szCs w:val="32"/>
          <w:lang w:val="en-US" w:eastAsia="zh-CN"/>
        </w:rPr>
        <w:t>30</w:t>
      </w:r>
      <w:r>
        <w:rPr>
          <w:rFonts w:hint="default" w:ascii="Times New Roman" w:hAnsi="Times New Roman" w:eastAsia="仿宋_GB2312" w:cs="Times New Roman"/>
          <w:bCs/>
          <w:sz w:val="32"/>
          <w:szCs w:val="32"/>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280AE4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送师市生态环境保护综合行政执法支队、生态环境监测站、1</w:t>
      </w:r>
      <w:r>
        <w:rPr>
          <w:rFonts w:hint="default" w:ascii="Times New Roman" w:hAnsi="Times New Roman" w:eastAsia="仿宋_GB2312" w:cs="Times New Roman"/>
          <w:bCs/>
          <w:sz w:val="32"/>
          <w:szCs w:val="32"/>
          <w:lang w:val="en-US" w:eastAsia="zh-CN"/>
        </w:rPr>
        <w:t>30</w:t>
      </w:r>
      <w:r>
        <w:rPr>
          <w:rFonts w:hint="default" w:ascii="Times New Roman" w:hAnsi="Times New Roman" w:eastAsia="仿宋_GB2312" w:cs="Times New Roman"/>
          <w:bCs/>
          <w:sz w:val="32"/>
          <w:szCs w:val="32"/>
        </w:rPr>
        <w:t>团城镇和生态保护中心，并按规定接受各级生态环境主管部门的监督检查。</w:t>
      </w:r>
    </w:p>
    <w:p w14:paraId="7AC05405">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03B99F5F">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35EA146C">
      <w:pPr>
        <w:spacing w:line="440" w:lineRule="exact"/>
        <w:ind w:firstLine="4800" w:firstLineChars="15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1AF33CE">
      <w:pPr>
        <w:spacing w:line="440" w:lineRule="exact"/>
        <w:ind w:firstLine="5440" w:firstLineChars="17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12</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2</w:t>
      </w:r>
      <w:r>
        <w:rPr>
          <w:rFonts w:hint="default" w:ascii="Times New Roman" w:hAnsi="Times New Roman" w:eastAsia="仿宋_GB2312" w:cs="Times New Roman"/>
          <w:bCs/>
          <w:sz w:val="32"/>
          <w:szCs w:val="32"/>
        </w:rPr>
        <w:t>日</w:t>
      </w:r>
    </w:p>
    <w:p w14:paraId="557A7685">
      <w:pPr>
        <w:rPr>
          <w:rFonts w:hint="eastAsia"/>
        </w:rPr>
      </w:pPr>
    </w:p>
    <w:p w14:paraId="2407869A">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3867767E">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3E1CDDDB">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657DE024">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0F57622C">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5F9E9536">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：师市生态环境保护综合行政执法支队、生态环境监测站、1</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团城镇和生态保护中心</w:t>
      </w:r>
      <w:r>
        <w:rPr>
          <w:rFonts w:hint="eastAsia" w:ascii="仿宋_GB2312" w:hAnsi="仿宋_GB2312" w:eastAsia="仿宋_GB2312" w:cs="仿宋_GB2312"/>
          <w:sz w:val="28"/>
          <w:szCs w:val="28"/>
          <w:lang w:eastAsia="zh-CN"/>
        </w:rPr>
        <w:t>。</w:t>
      </w:r>
    </w:p>
    <w:p w14:paraId="077E45AA">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9BB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573D7">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7C8573D7">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402172C"/>
    <w:rsid w:val="06103791"/>
    <w:rsid w:val="064F49ED"/>
    <w:rsid w:val="07EF0236"/>
    <w:rsid w:val="0A0D21E1"/>
    <w:rsid w:val="0A6D7B38"/>
    <w:rsid w:val="0A717628"/>
    <w:rsid w:val="0BD55735"/>
    <w:rsid w:val="0CD67C16"/>
    <w:rsid w:val="0CEB02C3"/>
    <w:rsid w:val="0DEC6201"/>
    <w:rsid w:val="0E927B6D"/>
    <w:rsid w:val="0F3A0A84"/>
    <w:rsid w:val="0F8E2A2A"/>
    <w:rsid w:val="0F9811B3"/>
    <w:rsid w:val="10415B91"/>
    <w:rsid w:val="13222B5F"/>
    <w:rsid w:val="1367781A"/>
    <w:rsid w:val="13B33653"/>
    <w:rsid w:val="15E46F00"/>
    <w:rsid w:val="19A61553"/>
    <w:rsid w:val="1ABC044C"/>
    <w:rsid w:val="1CB3762C"/>
    <w:rsid w:val="1D4B3D09"/>
    <w:rsid w:val="1E1F706C"/>
    <w:rsid w:val="1E222CBC"/>
    <w:rsid w:val="1E2F2A87"/>
    <w:rsid w:val="1F0C482E"/>
    <w:rsid w:val="1F6410B2"/>
    <w:rsid w:val="2177331E"/>
    <w:rsid w:val="21A1039B"/>
    <w:rsid w:val="24C7636B"/>
    <w:rsid w:val="24F3437F"/>
    <w:rsid w:val="274A3283"/>
    <w:rsid w:val="27E6038A"/>
    <w:rsid w:val="293E30BA"/>
    <w:rsid w:val="29ED02E2"/>
    <w:rsid w:val="2A0C4820"/>
    <w:rsid w:val="2A492FF3"/>
    <w:rsid w:val="2BE9171D"/>
    <w:rsid w:val="2DB66F7C"/>
    <w:rsid w:val="2DB71358"/>
    <w:rsid w:val="2E6647A7"/>
    <w:rsid w:val="2FE778C1"/>
    <w:rsid w:val="30766E97"/>
    <w:rsid w:val="308621F1"/>
    <w:rsid w:val="319A0963"/>
    <w:rsid w:val="31DB1B10"/>
    <w:rsid w:val="31DE6AA2"/>
    <w:rsid w:val="325A00D3"/>
    <w:rsid w:val="32EA1B39"/>
    <w:rsid w:val="334B0167"/>
    <w:rsid w:val="3390201E"/>
    <w:rsid w:val="34552334"/>
    <w:rsid w:val="345D63A4"/>
    <w:rsid w:val="34DB0164"/>
    <w:rsid w:val="34DB0F65"/>
    <w:rsid w:val="35222615"/>
    <w:rsid w:val="35335B87"/>
    <w:rsid w:val="3763266A"/>
    <w:rsid w:val="37641BBC"/>
    <w:rsid w:val="37C91FA2"/>
    <w:rsid w:val="389B146D"/>
    <w:rsid w:val="390336C5"/>
    <w:rsid w:val="39586DFD"/>
    <w:rsid w:val="3B901665"/>
    <w:rsid w:val="3E3F2FBE"/>
    <w:rsid w:val="3E5263F1"/>
    <w:rsid w:val="3E8F41EC"/>
    <w:rsid w:val="3ED656D0"/>
    <w:rsid w:val="412344D1"/>
    <w:rsid w:val="41E12475"/>
    <w:rsid w:val="41F36599"/>
    <w:rsid w:val="425C5EED"/>
    <w:rsid w:val="4475215D"/>
    <w:rsid w:val="44AC37CB"/>
    <w:rsid w:val="465316EE"/>
    <w:rsid w:val="46C2653A"/>
    <w:rsid w:val="46CD5F17"/>
    <w:rsid w:val="46F76C15"/>
    <w:rsid w:val="47623535"/>
    <w:rsid w:val="497529D7"/>
    <w:rsid w:val="4B0E2331"/>
    <w:rsid w:val="4B4732F2"/>
    <w:rsid w:val="4B9E0BAE"/>
    <w:rsid w:val="4BE111CF"/>
    <w:rsid w:val="4D3248D1"/>
    <w:rsid w:val="4DF46F02"/>
    <w:rsid w:val="4E1C7BCA"/>
    <w:rsid w:val="4E23273D"/>
    <w:rsid w:val="4E2A19FE"/>
    <w:rsid w:val="4E8B592A"/>
    <w:rsid w:val="5144471C"/>
    <w:rsid w:val="519163C1"/>
    <w:rsid w:val="51CA44D0"/>
    <w:rsid w:val="52016A0C"/>
    <w:rsid w:val="521E31BF"/>
    <w:rsid w:val="53732803"/>
    <w:rsid w:val="5445681C"/>
    <w:rsid w:val="54E21B59"/>
    <w:rsid w:val="55F63B99"/>
    <w:rsid w:val="576461D9"/>
    <w:rsid w:val="5786035A"/>
    <w:rsid w:val="58D34BF9"/>
    <w:rsid w:val="593C3F2A"/>
    <w:rsid w:val="598D4786"/>
    <w:rsid w:val="59BB12F3"/>
    <w:rsid w:val="5A0B54BA"/>
    <w:rsid w:val="5A132EDD"/>
    <w:rsid w:val="5A2854B0"/>
    <w:rsid w:val="5AD563E4"/>
    <w:rsid w:val="5ADB6D32"/>
    <w:rsid w:val="5BBE331C"/>
    <w:rsid w:val="5E116A2B"/>
    <w:rsid w:val="5EAF46C2"/>
    <w:rsid w:val="5EE50BC0"/>
    <w:rsid w:val="5F304919"/>
    <w:rsid w:val="5FCF6BF0"/>
    <w:rsid w:val="609D79A4"/>
    <w:rsid w:val="60BB7E2A"/>
    <w:rsid w:val="6109328C"/>
    <w:rsid w:val="612B239E"/>
    <w:rsid w:val="623C143F"/>
    <w:rsid w:val="62A019CE"/>
    <w:rsid w:val="62E3579C"/>
    <w:rsid w:val="644952F5"/>
    <w:rsid w:val="651D40D0"/>
    <w:rsid w:val="6703077D"/>
    <w:rsid w:val="679C6136"/>
    <w:rsid w:val="68152516"/>
    <w:rsid w:val="698B1E19"/>
    <w:rsid w:val="6CC3509F"/>
    <w:rsid w:val="6F2512C7"/>
    <w:rsid w:val="6F4158DC"/>
    <w:rsid w:val="708446DD"/>
    <w:rsid w:val="715F4802"/>
    <w:rsid w:val="7375588F"/>
    <w:rsid w:val="73E5637C"/>
    <w:rsid w:val="75006CB2"/>
    <w:rsid w:val="7516167C"/>
    <w:rsid w:val="75F30136"/>
    <w:rsid w:val="76017E90"/>
    <w:rsid w:val="79AC0800"/>
    <w:rsid w:val="7BE007E5"/>
    <w:rsid w:val="7BE262C5"/>
    <w:rsid w:val="7E3030BB"/>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w:basedOn w:val="1"/>
    <w:next w:val="1"/>
    <w:qFormat/>
    <w:uiPriority w:val="0"/>
    <w:rPr>
      <w:rFonts w:eastAsia="华文中宋"/>
      <w:b/>
      <w:bCs/>
      <w:w w:val="90"/>
      <w:sz w:val="44"/>
    </w:rPr>
  </w:style>
  <w:style w:type="paragraph" w:styleId="4">
    <w:name w:val="Body Text Indent"/>
    <w:basedOn w:val="1"/>
    <w:next w:val="5"/>
    <w:semiHidden/>
    <w:uiPriority w:val="99"/>
    <w:pPr>
      <w:spacing w:after="120"/>
      <w:ind w:left="420" w:leftChars="200"/>
    </w:pPr>
  </w:style>
  <w:style w:type="paragraph" w:styleId="5">
    <w:name w:val="Body Text First Indent 2"/>
    <w:basedOn w:val="4"/>
    <w:next w:val="1"/>
    <w:unhideWhenUsed/>
    <w:qFormat/>
    <w:uiPriority w:val="99"/>
    <w:pPr>
      <w:keepNext w:val="0"/>
      <w:keepLines w:val="0"/>
      <w:widowControl w:val="0"/>
      <w:suppressLineNumbers w:val="0"/>
      <w:spacing w:before="156" w:beforeLines="50" w:beforeAutospacing="0" w:after="156" w:afterLines="50" w:afterAutospacing="0" w:line="360" w:lineRule="auto"/>
      <w:ind w:left="0" w:right="0" w:firstLine="420" w:firstLineChars="200"/>
      <w:jc w:val="both"/>
    </w:pPr>
    <w:rPr>
      <w:rFonts w:hint="default" w:ascii="Times New Roman" w:hAnsi="Times New Roman" w:eastAsia="宋体" w:cs="Times New Roman"/>
      <w:kern w:val="2"/>
      <w:sz w:val="24"/>
      <w:szCs w:val="24"/>
      <w:lang w:val="en-US" w:eastAsia="zh-CN" w:bidi="ar-SA"/>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List"/>
    <w:basedOn w:val="1"/>
    <w:qFormat/>
    <w:uiPriority w:val="0"/>
    <w:pPr>
      <w:ind w:left="200" w:hanging="200" w:hangingChars="200"/>
    </w:pPr>
  </w:style>
  <w:style w:type="paragraph" w:styleId="8">
    <w:name w:val="footnote text"/>
    <w:basedOn w:val="1"/>
    <w:next w:val="2"/>
    <w:unhideWhenUsed/>
    <w:qFormat/>
    <w:uiPriority w:val="99"/>
    <w:pPr>
      <w:snapToGrid w:val="0"/>
      <w:jc w:val="left"/>
    </w:pPr>
    <w:rPr>
      <w:rFonts w:ascii="Calibri" w:hAnsi="Calibri" w:eastAsia="仿宋" w:cs="Times New Roman"/>
      <w:sz w:val="18"/>
      <w:szCs w:val="18"/>
    </w:rPr>
  </w:style>
  <w:style w:type="paragraph" w:styleId="9">
    <w:name w:val="Body Text 2"/>
    <w:basedOn w:val="1"/>
    <w:unhideWhenUsed/>
    <w:qFormat/>
    <w:uiPriority w:val="99"/>
    <w:pPr>
      <w:spacing w:after="120" w:line="480" w:lineRule="auto"/>
    </w:pPr>
  </w:style>
  <w:style w:type="paragraph" w:customStyle="1" w:styleId="12">
    <w:name w:val="Default"/>
    <w:basedOn w:val="13"/>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4">
    <w:name w:val="纯文本1"/>
    <w:basedOn w:val="1"/>
    <w:qFormat/>
    <w:uiPriority w:val="0"/>
    <w:pPr>
      <w:adjustRightInd w:val="0"/>
      <w:textAlignment w:val="baseline"/>
    </w:pPr>
    <w:rPr>
      <w:rFonts w:ascii="宋体" w:hAnsi="Courier New"/>
      <w:szCs w:val="20"/>
    </w:rPr>
  </w:style>
  <w:style w:type="paragraph" w:customStyle="1" w:styleId="15">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1823</Words>
  <Characters>1950</Characters>
  <Lines>0</Lines>
  <Paragraphs>0</Paragraphs>
  <TotalTime>10</TotalTime>
  <ScaleCrop>false</ScaleCrop>
  <LinksUpToDate>false</LinksUpToDate>
  <CharactersWithSpaces>1998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2025-02-07T08:04:00Z</cp:lastPrinted>
  <dcterms:modified xsi:type="dcterms:W3CDTF">2025-12-02T02:46:54Z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59297D305DF74819A6E06F9475AF6D0A_13</vt:lpwstr>
  </property>
  <property fmtid="{D5CDD505-2E9C-101B-9397-08002B2CF9AE}" pid="4" name="KSOTemplateDocerSaveRecord">
    <vt:lpwstr>eyJoZGlkIjoiOTM4ZGE5MjAwOTRjNzE3YmI3NzllODlkMzQzMmYzMzgiLCJ1c2VySWQiOiI1NTE5NjI2NTYifQ==</vt:lpwstr>
  </property>
</Properties>
</file>