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81B556">
      <w:pPr>
        <w:keepNext w:val="0"/>
        <w:keepLines w:val="0"/>
        <w:pageBreakBefore w:val="0"/>
        <w:widowControl w:val="0"/>
        <w:tabs>
          <w:tab w:val="left" w:pos="4982"/>
        </w:tabs>
        <w:kinsoku/>
        <w:wordWrap/>
        <w:overflowPunct/>
        <w:topLinePunct w:val="0"/>
        <w:autoSpaceDE/>
        <w:autoSpaceDN/>
        <w:bidi w:val="0"/>
        <w:adjustRightInd/>
        <w:snapToGrid/>
        <w:spacing w:line="800" w:lineRule="exact"/>
        <w:textAlignment w:val="auto"/>
        <w:rPr>
          <w:rFonts w:hint="default" w:ascii="仿宋_GB2312" w:eastAsia="仿宋_GB2312"/>
          <w:snapToGrid w:val="0"/>
          <w:kern w:val="0"/>
          <w:sz w:val="32"/>
          <w:szCs w:val="32"/>
          <w:lang w:val="en-US" w:eastAsia="zh-CN"/>
        </w:rPr>
      </w:pPr>
      <w:r>
        <w:rPr>
          <w:rFonts w:hint="eastAsia" w:ascii="仿宋_GB2312" w:eastAsia="仿宋_GB2312"/>
          <w:snapToGrid w:val="0"/>
          <w:kern w:val="0"/>
          <w:sz w:val="32"/>
          <w:szCs w:val="32"/>
          <w:lang w:val="en-US" w:eastAsia="zh-CN"/>
        </w:rPr>
        <w:tab/>
      </w:r>
    </w:p>
    <w:p w14:paraId="0CF2A8E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napToGrid w:val="0"/>
          <w:kern w:val="0"/>
          <w:sz w:val="32"/>
          <w:szCs w:val="32"/>
        </w:rPr>
      </w:pPr>
      <w:r>
        <w:rPr>
          <w:rFonts w:hint="eastAsia" w:ascii="仿宋_GB2312" w:eastAsia="仿宋_GB2312"/>
          <w:snapToGrid w:val="0"/>
          <w:kern w:val="0"/>
          <w:sz w:val="32"/>
          <w:szCs w:val="32"/>
        </w:rPr>
        <w:t xml:space="preserve">                              </w:t>
      </w:r>
      <w:r>
        <w:rPr>
          <w:rFonts w:hint="default" w:ascii="Times New Roman" w:hAnsi="Times New Roman" w:eastAsia="仿宋_GB2312" w:cs="Times New Roman"/>
          <w:snapToGrid w:val="0"/>
          <w:kern w:val="0"/>
          <w:sz w:val="32"/>
          <w:szCs w:val="32"/>
        </w:rPr>
        <w:t xml:space="preserve">  师市环审〔202</w:t>
      </w:r>
      <w:r>
        <w:rPr>
          <w:rFonts w:hint="default" w:ascii="Times New Roman" w:hAnsi="Times New Roman" w:eastAsia="仿宋_GB2312" w:cs="Times New Roman"/>
          <w:snapToGrid w:val="0"/>
          <w:kern w:val="0"/>
          <w:sz w:val="32"/>
          <w:szCs w:val="32"/>
          <w:lang w:val="en-US" w:eastAsia="zh-CN"/>
        </w:rPr>
        <w:t>5</w:t>
      </w:r>
      <w:r>
        <w:rPr>
          <w:rFonts w:hint="default" w:ascii="Times New Roman" w:hAnsi="Times New Roman" w:eastAsia="仿宋_GB2312" w:cs="Times New Roman"/>
          <w:snapToGrid w:val="0"/>
          <w:kern w:val="0"/>
          <w:sz w:val="32"/>
          <w:szCs w:val="32"/>
        </w:rPr>
        <w:t>〕</w:t>
      </w:r>
      <w:r>
        <w:rPr>
          <w:rFonts w:hint="eastAsia" w:eastAsia="仿宋_GB2312" w:cs="Times New Roman"/>
          <w:snapToGrid w:val="0"/>
          <w:kern w:val="0"/>
          <w:sz w:val="32"/>
          <w:szCs w:val="32"/>
          <w:lang w:val="en-US" w:eastAsia="zh-CN"/>
        </w:rPr>
        <w:t>54</w:t>
      </w:r>
      <w:r>
        <w:rPr>
          <w:rFonts w:hint="default" w:ascii="Times New Roman" w:hAnsi="Times New Roman" w:eastAsia="仿宋_GB2312" w:cs="Times New Roman"/>
          <w:snapToGrid w:val="0"/>
          <w:kern w:val="0"/>
          <w:sz w:val="32"/>
          <w:szCs w:val="32"/>
        </w:rPr>
        <w:t>号</w:t>
      </w:r>
    </w:p>
    <w:p w14:paraId="61EED7B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小标宋简体" w:hAnsi="宋体" w:eastAsia="方正小标宋简体"/>
          <w:bCs/>
          <w:snapToGrid w:val="0"/>
          <w:kern w:val="0"/>
          <w:sz w:val="44"/>
          <w:szCs w:val="44"/>
        </w:rPr>
      </w:pPr>
    </w:p>
    <w:p w14:paraId="1DDD08F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hAnsi="宋体" w:eastAsia="方正小标宋简体"/>
          <w:bCs/>
          <w:snapToGrid w:val="0"/>
          <w:kern w:val="0"/>
          <w:sz w:val="44"/>
          <w:szCs w:val="44"/>
        </w:rPr>
      </w:pPr>
      <w:r>
        <w:rPr>
          <w:rFonts w:hint="eastAsia" w:ascii="方正小标宋简体" w:hAnsi="宋体" w:eastAsia="方正小标宋简体"/>
          <w:bCs/>
          <w:snapToGrid w:val="0"/>
          <w:kern w:val="0"/>
          <w:sz w:val="44"/>
          <w:szCs w:val="44"/>
        </w:rPr>
        <w:t>关于</w:t>
      </w:r>
      <w:r>
        <w:rPr>
          <w:rFonts w:hint="default" w:ascii="Times New Roman" w:hAnsi="Times New Roman" w:eastAsia="方正小标宋简体" w:cs="Times New Roman"/>
          <w:bCs/>
          <w:color w:val="auto"/>
          <w:spacing w:val="0"/>
          <w:sz w:val="44"/>
          <w:szCs w:val="44"/>
          <w:lang w:val="zh-CN" w:eastAsia="zh-CN"/>
        </w:rPr>
        <w:t>年产</w:t>
      </w:r>
      <w:bookmarkStart w:id="1" w:name="_GoBack"/>
      <w:bookmarkEnd w:id="1"/>
      <w:r>
        <w:rPr>
          <w:rFonts w:hint="default" w:ascii="Times New Roman" w:hAnsi="Times New Roman" w:eastAsia="方正小标宋简体" w:cs="Times New Roman"/>
          <w:bCs/>
          <w:color w:val="auto"/>
          <w:spacing w:val="0"/>
          <w:sz w:val="44"/>
          <w:szCs w:val="44"/>
          <w:lang w:val="zh-CN" w:eastAsia="zh-CN"/>
        </w:rPr>
        <w:t>100万吨再生新型固废低碳胶凝材料</w:t>
      </w:r>
      <w:r>
        <w:rPr>
          <w:rFonts w:hint="eastAsia" w:ascii="方正小标宋简体" w:hAnsi="宋体" w:eastAsia="方正小标宋简体"/>
          <w:bCs/>
          <w:snapToGrid w:val="0"/>
          <w:kern w:val="0"/>
          <w:sz w:val="44"/>
          <w:szCs w:val="44"/>
          <w:lang w:val="zh-CN"/>
        </w:rPr>
        <w:t>项目环境影响报告</w:t>
      </w:r>
      <w:r>
        <w:rPr>
          <w:rFonts w:hint="eastAsia" w:ascii="方正小标宋简体" w:hAnsi="宋体" w:eastAsia="方正小标宋简体"/>
          <w:bCs/>
          <w:snapToGrid w:val="0"/>
          <w:kern w:val="0"/>
          <w:sz w:val="44"/>
          <w:szCs w:val="44"/>
        </w:rPr>
        <w:t>表</w:t>
      </w:r>
      <w:r>
        <w:rPr>
          <w:rFonts w:hint="eastAsia" w:ascii="方正小标宋简体" w:hAnsi="宋体" w:eastAsia="方正小标宋简体"/>
          <w:bCs/>
          <w:snapToGrid w:val="0"/>
          <w:kern w:val="0"/>
          <w:sz w:val="44"/>
          <w:szCs w:val="44"/>
          <w:lang w:val="en-US" w:eastAsia="zh-CN"/>
        </w:rPr>
        <w:t>的</w:t>
      </w:r>
      <w:r>
        <w:rPr>
          <w:rFonts w:hint="eastAsia" w:ascii="方正小标宋简体" w:hAnsi="宋体" w:eastAsia="方正小标宋简体"/>
          <w:bCs/>
          <w:snapToGrid w:val="0"/>
          <w:kern w:val="0"/>
          <w:sz w:val="44"/>
          <w:szCs w:val="44"/>
        </w:rPr>
        <w:t>批复</w:t>
      </w:r>
    </w:p>
    <w:p w14:paraId="7C43EDD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hAnsi="仿宋_GB2312" w:eastAsia="仿宋_GB2312" w:cs="仿宋_GB2312"/>
          <w:bCs/>
          <w:snapToGrid w:val="0"/>
          <w:kern w:val="0"/>
          <w:sz w:val="32"/>
          <w:szCs w:val="32"/>
        </w:rPr>
      </w:pPr>
    </w:p>
    <w:p w14:paraId="570EE64A">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新疆达能环境科技有限公司</w:t>
      </w:r>
      <w:r>
        <w:rPr>
          <w:rFonts w:hint="default" w:ascii="Times New Roman" w:hAnsi="Times New Roman" w:eastAsia="仿宋_GB2312" w:cs="Times New Roman"/>
          <w:sz w:val="32"/>
          <w:szCs w:val="32"/>
        </w:rPr>
        <w:t>：</w:t>
      </w:r>
    </w:p>
    <w:p w14:paraId="6327150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你公司《关于审批&lt;</w:t>
      </w:r>
      <w:r>
        <w:rPr>
          <w:rFonts w:hint="default" w:ascii="Times New Roman" w:hAnsi="Times New Roman" w:eastAsia="仿宋_GB2312" w:cs="Times New Roman"/>
          <w:sz w:val="32"/>
          <w:szCs w:val="32"/>
          <w:lang w:val="zh-CN" w:eastAsia="zh-CN"/>
        </w:rPr>
        <w:t>年产100万吨再生新型固废低碳胶凝材料</w:t>
      </w:r>
      <w:r>
        <w:rPr>
          <w:rFonts w:hint="default" w:ascii="Times New Roman" w:hAnsi="Times New Roman" w:eastAsia="仿宋_GB2312" w:cs="Times New Roman"/>
          <w:sz w:val="32"/>
          <w:szCs w:val="32"/>
          <w:lang w:val="zh-CN"/>
        </w:rPr>
        <w:t>项目环境影响报告</w:t>
      </w:r>
      <w:r>
        <w:rPr>
          <w:rFonts w:hint="default" w:ascii="Times New Roman" w:hAnsi="Times New Roman" w:eastAsia="仿宋_GB2312" w:cs="Times New Roman"/>
          <w:sz w:val="32"/>
          <w:szCs w:val="32"/>
        </w:rPr>
        <w:t>表&gt;的请示》收悉。经研究，批复如下：</w:t>
      </w:r>
    </w:p>
    <w:p w14:paraId="4046F1A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一、该项目</w:t>
      </w:r>
      <w:r>
        <w:rPr>
          <w:rFonts w:hint="default" w:ascii="Times New Roman" w:hAnsi="Times New Roman" w:eastAsia="仿宋_GB2312" w:cs="Times New Roman"/>
          <w:sz w:val="32"/>
          <w:szCs w:val="32"/>
          <w:lang w:val="en-US" w:eastAsia="zh-CN"/>
        </w:rPr>
        <w:t>位于第七师12</w:t>
      </w:r>
      <w:r>
        <w:rPr>
          <w:rFonts w:hint="eastAsia" w:eastAsia="仿宋_GB2312" w:cs="Times New Roman"/>
          <w:sz w:val="32"/>
          <w:szCs w:val="32"/>
          <w:lang w:val="en-US" w:eastAsia="zh-CN"/>
        </w:rPr>
        <w:t>8</w:t>
      </w:r>
      <w:r>
        <w:rPr>
          <w:rFonts w:hint="default" w:ascii="Times New Roman" w:hAnsi="Times New Roman" w:eastAsia="仿宋_GB2312" w:cs="Times New Roman"/>
          <w:sz w:val="32"/>
          <w:szCs w:val="32"/>
          <w:lang w:val="en-US" w:eastAsia="zh-CN"/>
        </w:rPr>
        <w:t>团，项目区中心地理位置坐标为</w:t>
      </w:r>
      <w:bookmarkStart w:id="0" w:name="_Hlk180516248"/>
      <w:r>
        <w:rPr>
          <w:rFonts w:hint="default" w:ascii="Times New Roman" w:hAnsi="Times New Roman" w:eastAsia="仿宋_GB2312" w:cs="Times New Roman"/>
          <w:sz w:val="32"/>
          <w:szCs w:val="32"/>
          <w:lang w:val="en-US" w:eastAsia="zh-CN"/>
        </w:rPr>
        <w:t>东经84°42′19.109″，北纬45°0′43.375″。</w:t>
      </w:r>
      <w:bookmarkEnd w:id="0"/>
      <w:r>
        <w:rPr>
          <w:rFonts w:hint="default" w:ascii="Times New Roman" w:hAnsi="Times New Roman" w:eastAsia="仿宋_GB2312" w:cs="Times New Roman"/>
          <w:sz w:val="32"/>
          <w:szCs w:val="32"/>
          <w:lang w:val="en-US" w:eastAsia="zh-CN"/>
        </w:rPr>
        <w:t>项目</w:t>
      </w:r>
      <w:r>
        <w:rPr>
          <w:rFonts w:hint="eastAsia" w:eastAsia="仿宋_GB2312" w:cs="Times New Roman"/>
          <w:sz w:val="32"/>
          <w:szCs w:val="32"/>
          <w:lang w:val="en-US" w:eastAsia="zh-CN"/>
        </w:rPr>
        <w:t>新</w:t>
      </w:r>
      <w:r>
        <w:rPr>
          <w:rFonts w:hint="default" w:ascii="Times New Roman" w:hAnsi="Times New Roman" w:eastAsia="仿宋_GB2312" w:cs="Times New Roman"/>
          <w:sz w:val="32"/>
          <w:szCs w:val="32"/>
          <w:lang w:val="en-US" w:eastAsia="zh-CN"/>
        </w:rPr>
        <w:t>建1条固废基胶凝材料生产线</w:t>
      </w:r>
      <w:r>
        <w:rPr>
          <w:rFonts w:hint="eastAsia" w:eastAsia="仿宋_GB2312" w:cs="Times New Roman"/>
          <w:sz w:val="32"/>
          <w:szCs w:val="32"/>
          <w:lang w:val="en-US" w:eastAsia="zh-CN"/>
        </w:rPr>
        <w:t>，建成后年产固废基胶凝材料100万吨</w:t>
      </w:r>
      <w:r>
        <w:rPr>
          <w:rFonts w:hint="default" w:ascii="Times New Roman" w:hAnsi="Times New Roman" w:eastAsia="仿宋_GB2312" w:cs="Times New Roman"/>
          <w:sz w:val="32"/>
          <w:szCs w:val="32"/>
          <w:lang w:val="en-US" w:eastAsia="zh-CN"/>
        </w:rPr>
        <w:t>。本项目总投资6000万元，环保投资1027万元，占项目总投资的17.12%。</w:t>
      </w:r>
    </w:p>
    <w:p w14:paraId="1795843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w:t>
      </w:r>
      <w:r>
        <w:rPr>
          <w:rFonts w:hint="default" w:ascii="Times New Roman" w:hAnsi="Times New Roman" w:eastAsia="仿宋_GB2312" w:cs="Times New Roman"/>
          <w:bCs/>
          <w:sz w:val="32"/>
          <w:szCs w:val="32"/>
        </w:rPr>
        <w:t>项目实施后会对环境造成一定不利影响，必须严格落实各项污染防治和生态环境保护措施，采取严格的环境风险防范措施、环境管理制度、环境监控和应急措施。综合考虑，我局原则同意该项目环境影响</w:t>
      </w:r>
      <w:r>
        <w:rPr>
          <w:rFonts w:hint="eastAsia" w:eastAsia="仿宋_GB2312" w:cs="Times New Roman"/>
          <w:bCs/>
          <w:sz w:val="32"/>
          <w:szCs w:val="32"/>
          <w:lang w:eastAsia="zh-CN"/>
        </w:rPr>
        <w:t>报告</w:t>
      </w:r>
      <w:r>
        <w:rPr>
          <w:rFonts w:hint="eastAsia" w:eastAsia="仿宋_GB2312" w:cs="Times New Roman"/>
          <w:bCs/>
          <w:sz w:val="32"/>
          <w:szCs w:val="32"/>
          <w:lang w:val="en-US" w:eastAsia="zh-CN"/>
        </w:rPr>
        <w:t>表</w:t>
      </w:r>
      <w:r>
        <w:rPr>
          <w:rFonts w:hint="default" w:ascii="Times New Roman" w:hAnsi="Times New Roman" w:eastAsia="仿宋_GB2312" w:cs="Times New Roman"/>
          <w:bCs/>
          <w:sz w:val="32"/>
          <w:szCs w:val="32"/>
        </w:rPr>
        <w:t>中所列建设项目的性质、规模、地点、工艺和环境保护对策措施。</w:t>
      </w:r>
    </w:p>
    <w:p w14:paraId="597C4F5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rPr>
        <w:t>三、</w:t>
      </w:r>
      <w:r>
        <w:rPr>
          <w:rFonts w:hint="default" w:ascii="Times New Roman" w:hAnsi="Times New Roman" w:eastAsia="仿宋_GB2312" w:cs="Times New Roman"/>
          <w:bCs/>
          <w:sz w:val="32"/>
          <w:szCs w:val="32"/>
        </w:rPr>
        <w:t>项目建设和运营中应重点做好的工作：</w:t>
      </w:r>
    </w:p>
    <w:p w14:paraId="53F4FC5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rPr>
        <w:t>（一）严格落实大气污染防治措施。</w:t>
      </w:r>
      <w:r>
        <w:rPr>
          <w:rFonts w:hint="default" w:ascii="Times New Roman" w:hAnsi="Times New Roman" w:eastAsia="仿宋_GB2312" w:cs="Times New Roman"/>
          <w:b w:val="0"/>
          <w:bCs/>
          <w:sz w:val="32"/>
          <w:szCs w:val="32"/>
          <w:lang w:val="en-US" w:eastAsia="zh-CN"/>
        </w:rPr>
        <w:t>项目运营期球磨机及混合搅拌工序产生</w:t>
      </w:r>
      <w:r>
        <w:rPr>
          <w:rFonts w:hint="eastAsia" w:eastAsia="仿宋_GB2312" w:cs="Times New Roman"/>
          <w:b w:val="0"/>
          <w:bCs/>
          <w:sz w:val="32"/>
          <w:szCs w:val="32"/>
          <w:lang w:val="en-US" w:eastAsia="zh-CN"/>
        </w:rPr>
        <w:t>的</w:t>
      </w:r>
      <w:r>
        <w:rPr>
          <w:rFonts w:hint="default" w:ascii="Times New Roman" w:hAnsi="Times New Roman" w:eastAsia="仿宋_GB2312" w:cs="Times New Roman"/>
          <w:b w:val="0"/>
          <w:bCs/>
          <w:sz w:val="32"/>
          <w:szCs w:val="32"/>
          <w:lang w:val="en-US" w:eastAsia="zh-CN"/>
        </w:rPr>
        <w:t>粉尘</w:t>
      </w:r>
      <w:r>
        <w:rPr>
          <w:rFonts w:hint="eastAsia" w:eastAsia="仿宋_GB2312" w:cs="Times New Roman"/>
          <w:b w:val="0"/>
          <w:bCs/>
          <w:sz w:val="32"/>
          <w:szCs w:val="32"/>
          <w:lang w:val="en-US" w:eastAsia="zh-CN"/>
        </w:rPr>
        <w:t>经</w:t>
      </w:r>
      <w:r>
        <w:rPr>
          <w:rFonts w:hint="default" w:ascii="Times New Roman" w:hAnsi="Times New Roman" w:eastAsia="仿宋_GB2312" w:cs="Times New Roman"/>
          <w:b w:val="0"/>
          <w:bCs/>
          <w:sz w:val="32"/>
          <w:szCs w:val="32"/>
          <w:lang w:val="en-US" w:eastAsia="zh-CN"/>
        </w:rPr>
        <w:t>球磨机、搅拌机上料口</w:t>
      </w:r>
      <w:r>
        <w:rPr>
          <w:rFonts w:hint="eastAsia" w:eastAsia="仿宋_GB2312" w:cs="Times New Roman"/>
          <w:b w:val="0"/>
          <w:bCs/>
          <w:sz w:val="32"/>
          <w:szCs w:val="32"/>
          <w:lang w:val="en-US" w:eastAsia="zh-CN"/>
        </w:rPr>
        <w:t>的</w:t>
      </w:r>
      <w:r>
        <w:rPr>
          <w:rFonts w:hint="default" w:ascii="Times New Roman" w:hAnsi="Times New Roman" w:eastAsia="仿宋_GB2312" w:cs="Times New Roman"/>
          <w:b w:val="0"/>
          <w:bCs/>
          <w:sz w:val="32"/>
          <w:szCs w:val="32"/>
          <w:lang w:val="en-US" w:eastAsia="zh-CN"/>
        </w:rPr>
        <w:t>集气罩收集后通过管道排至布袋除尘器处理，</w:t>
      </w:r>
      <w:r>
        <w:rPr>
          <w:rFonts w:hint="eastAsia" w:eastAsia="仿宋_GB2312" w:cs="Times New Roman"/>
          <w:b w:val="0"/>
          <w:bCs/>
          <w:sz w:val="32"/>
          <w:szCs w:val="32"/>
          <w:lang w:val="en-US" w:eastAsia="zh-CN"/>
        </w:rPr>
        <w:t>最终通过</w:t>
      </w:r>
      <w:r>
        <w:rPr>
          <w:rFonts w:hint="default" w:ascii="Times New Roman" w:hAnsi="Times New Roman" w:eastAsia="仿宋_GB2312" w:cs="Times New Roman"/>
          <w:b w:val="0"/>
          <w:bCs/>
          <w:sz w:val="32"/>
          <w:szCs w:val="32"/>
          <w:lang w:val="en-US" w:eastAsia="zh-CN"/>
        </w:rPr>
        <w:t>15m高排气筒排放，颗粒物排放浓度执行《水泥工业大气污染物排放标准》（GB4915-2013）表2特别排放限值要求。食堂油烟通过专用油烟净化器净化</w:t>
      </w:r>
      <w:r>
        <w:rPr>
          <w:rFonts w:hint="eastAsia" w:eastAsia="仿宋_GB2312" w:cs="Times New Roman"/>
          <w:b w:val="0"/>
          <w:bCs/>
          <w:sz w:val="32"/>
          <w:szCs w:val="32"/>
          <w:lang w:val="en-US" w:eastAsia="zh-CN"/>
        </w:rPr>
        <w:t>后排放</w:t>
      </w:r>
      <w:r>
        <w:rPr>
          <w:rFonts w:hint="default" w:ascii="Times New Roman" w:hAnsi="Times New Roman" w:eastAsia="仿宋_GB2312" w:cs="Times New Roman"/>
          <w:b w:val="0"/>
          <w:bCs/>
          <w:sz w:val="32"/>
          <w:szCs w:val="32"/>
          <w:lang w:val="en-US" w:eastAsia="zh-CN"/>
        </w:rPr>
        <w:t>，食堂油烟执行《饮食业油烟排放标准（试行）》（GB18483-2001）标准要求。</w:t>
      </w:r>
    </w:p>
    <w:p w14:paraId="6FA3CEC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val="0"/>
          <w:bCs/>
          <w:color w:val="auto"/>
          <w:sz w:val="32"/>
          <w:szCs w:val="32"/>
          <w:lang w:val="en-US" w:eastAsia="zh-CN"/>
        </w:rPr>
        <w:t>本项目无组织粉尘主要包括炉渣还原土装卸及堆存扬尘、粉状物料的装卸及转运粉尘、球磨机及混合搅拌粉尘。</w:t>
      </w:r>
      <w:r>
        <w:rPr>
          <w:rFonts w:hint="default" w:ascii="Times New Roman" w:hAnsi="Times New Roman" w:eastAsia="仿宋_GB2312" w:cs="Times New Roman"/>
          <w:b w:val="0"/>
          <w:bCs/>
          <w:sz w:val="32"/>
          <w:szCs w:val="32"/>
          <w:lang w:val="en-US" w:eastAsia="zh-CN"/>
        </w:rPr>
        <w:t>炉渣、还原土装卸及堆存扬尘通过封闭厂房、设置洒水降尘措施</w:t>
      </w:r>
      <w:r>
        <w:rPr>
          <w:rFonts w:hint="eastAsia" w:eastAsia="仿宋_GB2312" w:cs="Times New Roman"/>
          <w:b w:val="0"/>
          <w:bCs/>
          <w:sz w:val="32"/>
          <w:szCs w:val="32"/>
          <w:lang w:val="en-US" w:eastAsia="zh-CN"/>
        </w:rPr>
        <w:t>除尘</w:t>
      </w:r>
      <w:r>
        <w:rPr>
          <w:rFonts w:hint="default" w:ascii="Times New Roman" w:hAnsi="Times New Roman" w:eastAsia="仿宋_GB2312" w:cs="Times New Roman"/>
          <w:b w:val="0"/>
          <w:bCs/>
          <w:sz w:val="32"/>
          <w:szCs w:val="32"/>
          <w:lang w:val="en-US" w:eastAsia="zh-CN"/>
        </w:rPr>
        <w:t>；粉状物料的装卸及转运粉尘通过气力输送将物料送至水泥筒仓，废气随筒仓里的空气经筒仓自带脉冲袋式除尘器处理后排出</w:t>
      </w:r>
      <w:r>
        <w:rPr>
          <w:rFonts w:hint="eastAsia" w:eastAsia="仿宋_GB2312" w:cs="Times New Roman"/>
          <w:b w:val="0"/>
          <w:bCs/>
          <w:sz w:val="32"/>
          <w:szCs w:val="32"/>
          <w:lang w:val="en-US" w:eastAsia="zh-CN"/>
        </w:rPr>
        <w:t>。</w:t>
      </w:r>
      <w:r>
        <w:rPr>
          <w:rFonts w:hint="default" w:ascii="Times New Roman" w:hAnsi="Times New Roman" w:eastAsia="仿宋_GB2312" w:cs="Times New Roman"/>
          <w:b w:val="0"/>
          <w:bCs/>
          <w:sz w:val="32"/>
          <w:szCs w:val="32"/>
          <w:lang w:val="en-US" w:eastAsia="zh-CN"/>
        </w:rPr>
        <w:t>颗粒物无组织排放执行《大气污染物综合排放标准》（GB16297-1996）表3标准限值要求。</w:t>
      </w:r>
    </w:p>
    <w:p w14:paraId="3B234A6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（二）严格落实水污染防治措施。</w:t>
      </w:r>
      <w:r>
        <w:rPr>
          <w:rFonts w:hint="default" w:ascii="Times New Roman" w:hAnsi="Times New Roman" w:eastAsia="仿宋_GB2312" w:cs="Times New Roman"/>
          <w:sz w:val="32"/>
          <w:szCs w:val="32"/>
          <w:lang w:val="en-US" w:eastAsia="zh-CN"/>
        </w:rPr>
        <w:t>食堂废水经隔油池处理后与生活污水一并排入化粪池，生活污水经化粪池处理后排入市政污水管网，最终进入第七师128团（前山镇）城镇污水处理厂处理；车辆清洗废水经沉淀池处理后循环使用，不外排。</w:t>
      </w:r>
    </w:p>
    <w:p w14:paraId="18621EA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（三）严格落实噪声污染防治措施。</w:t>
      </w:r>
      <w:r>
        <w:rPr>
          <w:rFonts w:hint="default" w:ascii="Times New Roman" w:hAnsi="Times New Roman" w:eastAsia="仿宋_GB2312" w:cs="Times New Roman"/>
          <w:bCs/>
          <w:sz w:val="32"/>
          <w:szCs w:val="32"/>
          <w:lang w:val="en-US" w:eastAsia="zh-CN"/>
        </w:rPr>
        <w:t>对高噪声设备采取集中布置、密闭隔离或加装减振装置，机械设备与运输车辆的定期保养等措施，项目区噪声</w:t>
      </w:r>
      <w:r>
        <w:rPr>
          <w:rFonts w:hint="eastAsia" w:ascii="Times New Roman" w:hAnsi="Times New Roman" w:eastAsia="仿宋_GB2312" w:cs="Times New Roman"/>
          <w:bCs/>
          <w:sz w:val="32"/>
          <w:szCs w:val="32"/>
          <w:lang w:val="en-US" w:eastAsia="zh-CN"/>
        </w:rPr>
        <w:t>执行</w:t>
      </w:r>
      <w:r>
        <w:rPr>
          <w:rFonts w:hint="default" w:ascii="Times New Roman" w:hAnsi="Times New Roman" w:eastAsia="仿宋_GB2312" w:cs="Times New Roman"/>
          <w:bCs/>
          <w:sz w:val="32"/>
          <w:szCs w:val="32"/>
          <w:lang w:val="en-US" w:eastAsia="zh-CN"/>
        </w:rPr>
        <w:t>《工业企业厂界环境噪声排放标准》（GB12348-2008）3类区标准限值要求。</w:t>
      </w:r>
    </w:p>
    <w:p w14:paraId="47E08C7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（四）严格落实固体废物分类处置和综合利用措施。</w:t>
      </w:r>
      <w:r>
        <w:rPr>
          <w:rFonts w:hint="default" w:ascii="Times New Roman" w:hAnsi="Times New Roman" w:eastAsia="仿宋_GB2312" w:cs="Times New Roman"/>
          <w:sz w:val="32"/>
          <w:szCs w:val="32"/>
          <w:lang w:val="en-US" w:eastAsia="zh-CN"/>
        </w:rPr>
        <w:t>废机油油、废油桶</w:t>
      </w:r>
      <w:r>
        <w:rPr>
          <w:rFonts w:hint="eastAsia" w:eastAsia="仿宋_GB2312" w:cs="Times New Roman"/>
          <w:sz w:val="32"/>
          <w:szCs w:val="32"/>
          <w:lang w:val="en-US" w:eastAsia="zh-CN"/>
        </w:rPr>
        <w:t>属于危险废物，暂存于危险废物暂存库，定期交由有资质单位处置。一般固体废物中</w:t>
      </w:r>
      <w:r>
        <w:rPr>
          <w:rFonts w:hint="default" w:ascii="Times New Roman" w:hAnsi="Times New Roman" w:eastAsia="仿宋_GB2312" w:cs="Times New Roman"/>
          <w:sz w:val="32"/>
          <w:szCs w:val="32"/>
          <w:lang w:val="en-US" w:eastAsia="zh-CN"/>
        </w:rPr>
        <w:t>不合格品经球磨机处理后回用于生产；布袋除尘器收集粉尘回用于生产；布袋除尘器更换的废布袋由设备厂家回收，不在厂区暂存；沉淀池泥沙晾干后回用于生产；隔油池沉渣交由</w:t>
      </w:r>
      <w:r>
        <w:rPr>
          <w:rFonts w:hint="eastAsia" w:ascii="Times New Roman" w:hAnsi="Times New Roman" w:eastAsia="仿宋_GB2312" w:cs="Times New Roman"/>
          <w:sz w:val="32"/>
          <w:szCs w:val="32"/>
          <w:lang w:val="en-US" w:eastAsia="zh-CN"/>
        </w:rPr>
        <w:t>资质的</w:t>
      </w:r>
      <w:r>
        <w:rPr>
          <w:rFonts w:hint="default" w:ascii="Times New Roman" w:hAnsi="Times New Roman" w:eastAsia="仿宋_GB2312" w:cs="Times New Roman"/>
          <w:sz w:val="32"/>
          <w:szCs w:val="32"/>
          <w:lang w:val="en-US" w:eastAsia="zh-CN"/>
        </w:rPr>
        <w:t>回收单位综合利用</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危险废物的收集、贮存、运输须符合《危险废物收集 贮存 运输技术规范》（HJ2025-2012）及《危险废物贮存污染控制标准》（GB18597-2023）的相关要求</w:t>
      </w:r>
      <w:r>
        <w:rPr>
          <w:rFonts w:hint="default" w:ascii="Times New Roman" w:hAnsi="Times New Roman" w:eastAsia="仿宋_GB2312" w:cs="Times New Roman"/>
          <w:sz w:val="32"/>
          <w:szCs w:val="32"/>
        </w:rPr>
        <w:t>。生活垃圾收集后</w:t>
      </w:r>
      <w:r>
        <w:rPr>
          <w:rFonts w:hint="default" w:ascii="Times New Roman" w:hAnsi="Times New Roman" w:eastAsia="仿宋_GB2312" w:cs="Times New Roman"/>
          <w:sz w:val="32"/>
          <w:szCs w:val="32"/>
          <w:lang w:eastAsia="zh-CN"/>
        </w:rPr>
        <w:t>由环卫部门统一清运</w:t>
      </w:r>
      <w:r>
        <w:rPr>
          <w:rFonts w:hint="default" w:ascii="Times New Roman" w:hAnsi="Times New Roman" w:eastAsia="仿宋_GB2312" w:cs="Times New Roman"/>
          <w:sz w:val="32"/>
          <w:szCs w:val="32"/>
          <w:lang w:val="en-US" w:eastAsia="zh-CN"/>
        </w:rPr>
        <w:t>。</w:t>
      </w:r>
    </w:p>
    <w:p w14:paraId="529A739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bCs/>
          <w:sz w:val="32"/>
          <w:szCs w:val="32"/>
          <w:lang w:eastAsia="zh-CN"/>
        </w:rPr>
      </w:pPr>
      <w:r>
        <w:rPr>
          <w:rFonts w:hint="default" w:ascii="Times New Roman" w:hAnsi="Times New Roman" w:eastAsia="仿宋_GB2312" w:cs="Times New Roman"/>
          <w:bCs/>
          <w:sz w:val="32"/>
          <w:szCs w:val="32"/>
        </w:rPr>
        <w:t>（</w:t>
      </w:r>
      <w:r>
        <w:rPr>
          <w:rFonts w:hint="eastAsia" w:eastAsia="仿宋_GB2312" w:cs="Times New Roman"/>
          <w:bCs/>
          <w:sz w:val="32"/>
          <w:szCs w:val="32"/>
          <w:lang w:val="en-US" w:eastAsia="zh-CN"/>
        </w:rPr>
        <w:t>五</w:t>
      </w:r>
      <w:r>
        <w:rPr>
          <w:rFonts w:hint="default" w:ascii="Times New Roman" w:hAnsi="Times New Roman" w:eastAsia="仿宋_GB2312" w:cs="Times New Roman"/>
          <w:bCs/>
          <w:sz w:val="32"/>
          <w:szCs w:val="32"/>
        </w:rPr>
        <w:t>）严格落实地下水及土壤污染防治措施。</w:t>
      </w:r>
      <w:r>
        <w:rPr>
          <w:rFonts w:hint="default" w:ascii="Times New Roman" w:hAnsi="Times New Roman" w:eastAsia="仿宋_GB2312" w:cs="Times New Roman"/>
          <w:bCs/>
          <w:sz w:val="32"/>
          <w:szCs w:val="32"/>
          <w:lang w:eastAsia="zh-CN"/>
        </w:rPr>
        <w:t>按照源头防控、分区防治、污染监控、应急响应的原则进行地下水污染防治。严格按照导则要求，落实分区防渗和监控措施，</w:t>
      </w:r>
      <w:r>
        <w:rPr>
          <w:rFonts w:hint="default" w:ascii="Times New Roman" w:hAnsi="Times New Roman" w:eastAsia="仿宋_GB2312" w:cs="Times New Roman"/>
          <w:bCs/>
          <w:sz w:val="32"/>
          <w:szCs w:val="32"/>
          <w:lang w:val="en-US" w:eastAsia="zh-CN"/>
        </w:rPr>
        <w:t>对危废贮存库、沉淀池、应急事故池、化粪池</w:t>
      </w:r>
      <w:r>
        <w:rPr>
          <w:rFonts w:hint="default" w:ascii="Times New Roman" w:hAnsi="Times New Roman" w:eastAsia="仿宋_GB2312" w:cs="Times New Roman"/>
          <w:bCs/>
          <w:sz w:val="32"/>
          <w:szCs w:val="32"/>
          <w:lang w:eastAsia="zh-CN"/>
        </w:rPr>
        <w:t>进行重点防渗</w:t>
      </w:r>
      <w:r>
        <w:rPr>
          <w:rFonts w:hint="eastAsia" w:eastAsia="仿宋_GB2312" w:cs="Times New Roman"/>
          <w:bCs/>
          <w:sz w:val="32"/>
          <w:szCs w:val="32"/>
          <w:lang w:eastAsia="zh-CN"/>
        </w:rPr>
        <w:t>；</w:t>
      </w:r>
      <w:r>
        <w:rPr>
          <w:rFonts w:hint="eastAsia" w:eastAsia="仿宋_GB2312" w:cs="Times New Roman"/>
          <w:bCs/>
          <w:sz w:val="32"/>
          <w:szCs w:val="32"/>
          <w:lang w:val="en-US" w:eastAsia="zh-CN"/>
        </w:rPr>
        <w:t>对储灰库、原料罐区、成品罐区，生产线区域进行一般防渗。</w:t>
      </w:r>
      <w:r>
        <w:rPr>
          <w:rFonts w:hint="default" w:ascii="Times New Roman" w:hAnsi="Times New Roman" w:eastAsia="仿宋_GB2312" w:cs="Times New Roman"/>
          <w:bCs/>
          <w:sz w:val="32"/>
          <w:szCs w:val="32"/>
          <w:lang w:eastAsia="zh-CN"/>
        </w:rPr>
        <w:t>加强防渗设施的日常维护，对出现损坏的防渗设施应及时修复加固，确保防渗设施牢固安全。</w:t>
      </w:r>
    </w:p>
    <w:p w14:paraId="64336E5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Times New Roman"/>
          <w:bCs/>
          <w:sz w:val="32"/>
          <w:szCs w:val="32"/>
          <w:lang w:eastAsia="zh-CN"/>
        </w:rPr>
      </w:pPr>
      <w:r>
        <w:rPr>
          <w:rFonts w:hint="default" w:ascii="Times New Roman" w:hAnsi="Times New Roman" w:eastAsia="仿宋_GB2312" w:cs="Times New Roman"/>
          <w:bCs/>
          <w:sz w:val="32"/>
          <w:szCs w:val="32"/>
        </w:rPr>
        <w:t>（</w:t>
      </w:r>
      <w:r>
        <w:rPr>
          <w:rFonts w:hint="eastAsia" w:eastAsia="仿宋_GB2312" w:cs="Times New Roman"/>
          <w:bCs/>
          <w:sz w:val="32"/>
          <w:szCs w:val="32"/>
          <w:lang w:val="en-US" w:eastAsia="zh-CN"/>
        </w:rPr>
        <w:t>六</w:t>
      </w:r>
      <w:r>
        <w:rPr>
          <w:rFonts w:hint="default" w:ascii="Times New Roman" w:hAnsi="Times New Roman" w:eastAsia="仿宋_GB2312" w:cs="Times New Roman"/>
          <w:bCs/>
          <w:sz w:val="32"/>
          <w:szCs w:val="32"/>
        </w:rPr>
        <w:t>）强化各项环境风险防范措施，有效防范环境风险。厂内定期开展环境风险应急培训和演练，落实各项应急环境管理措施以及各项风险防范措施，确保风险事故得到有效控制。</w:t>
      </w:r>
    </w:p>
    <w:p w14:paraId="6B1FBE3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lang w:eastAsia="zh-CN"/>
        </w:rPr>
        <w:t>（</w:t>
      </w:r>
      <w:r>
        <w:rPr>
          <w:rFonts w:hint="eastAsia" w:eastAsia="仿宋_GB2312" w:cs="Times New Roman"/>
          <w:bCs/>
          <w:sz w:val="32"/>
          <w:szCs w:val="32"/>
          <w:lang w:val="en-US" w:eastAsia="zh-CN"/>
        </w:rPr>
        <w:t>七</w:t>
      </w:r>
      <w:r>
        <w:rPr>
          <w:rFonts w:hint="default" w:ascii="Times New Roman" w:hAnsi="Times New Roman" w:eastAsia="仿宋_GB2312" w:cs="Times New Roman"/>
          <w:bCs/>
          <w:sz w:val="32"/>
          <w:szCs w:val="32"/>
          <w:lang w:eastAsia="zh-CN"/>
        </w:rPr>
        <w:t>）加强施工期环境保护，落实防沙治沙措施，防止施工废水、扬尘、噪声污染、水土流失和生态破坏。</w:t>
      </w:r>
    </w:p>
    <w:p w14:paraId="1E7CB11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bCs/>
          <w:sz w:val="32"/>
          <w:szCs w:val="32"/>
        </w:rPr>
      </w:pPr>
      <w:r>
        <w:rPr>
          <w:rFonts w:hint="eastAsia" w:eastAsia="仿宋_GB2312" w:cs="Times New Roman"/>
          <w:bCs/>
          <w:sz w:val="32"/>
          <w:szCs w:val="32"/>
          <w:lang w:eastAsia="zh-CN"/>
        </w:rPr>
        <w:t>（</w:t>
      </w:r>
      <w:r>
        <w:rPr>
          <w:rFonts w:hint="eastAsia" w:eastAsia="仿宋_GB2312" w:cs="Times New Roman"/>
          <w:bCs/>
          <w:sz w:val="32"/>
          <w:szCs w:val="32"/>
          <w:lang w:val="en-US" w:eastAsia="zh-CN"/>
        </w:rPr>
        <w:t>八</w:t>
      </w:r>
      <w:r>
        <w:rPr>
          <w:rFonts w:hint="eastAsia" w:eastAsia="仿宋_GB2312" w:cs="Times New Roman"/>
          <w:bCs/>
          <w:sz w:val="32"/>
          <w:szCs w:val="32"/>
          <w:lang w:eastAsia="zh-CN"/>
        </w:rPr>
        <w:t>）</w:t>
      </w:r>
      <w:r>
        <w:rPr>
          <w:rFonts w:hint="default" w:ascii="Times New Roman" w:hAnsi="Times New Roman" w:eastAsia="仿宋_GB2312" w:cs="Times New Roman"/>
          <w:bCs/>
          <w:sz w:val="32"/>
          <w:szCs w:val="32"/>
        </w:rPr>
        <w:t>在工程运营过程中，应建立畅通的公众参与平台，加强宣传与沟通工作，及时解决公众提出的合理环境诉求。定期发布企业环境信息，并主动接受社会监督。</w:t>
      </w:r>
    </w:p>
    <w:p w14:paraId="773A228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四、项目建设必须严格执行配套的环境保护设施与主体工程同时设计、同时施工、同时投产使用的环境保护“三同时”制度。施工招标文件和施工合同招标文件中应明确环保条款和责任，项目竣工后，须按规定程序实施竣工环境保护验收。</w:t>
      </w:r>
    </w:p>
    <w:p w14:paraId="660C56E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五、环境影响</w:t>
      </w:r>
      <w:r>
        <w:rPr>
          <w:rFonts w:hint="eastAsia" w:eastAsia="仿宋_GB2312" w:cs="Times New Roman"/>
          <w:bCs/>
          <w:sz w:val="32"/>
          <w:szCs w:val="32"/>
          <w:lang w:eastAsia="zh-CN"/>
        </w:rPr>
        <w:t>报告</w:t>
      </w:r>
      <w:r>
        <w:rPr>
          <w:rFonts w:hint="eastAsia" w:eastAsia="仿宋_GB2312" w:cs="Times New Roman"/>
          <w:bCs/>
          <w:sz w:val="32"/>
          <w:szCs w:val="32"/>
          <w:lang w:val="en-US" w:eastAsia="zh-CN"/>
        </w:rPr>
        <w:t>表</w:t>
      </w:r>
      <w:r>
        <w:rPr>
          <w:rFonts w:hint="default" w:ascii="Times New Roman" w:hAnsi="Times New Roman" w:eastAsia="仿宋_GB2312" w:cs="Times New Roman"/>
          <w:bCs/>
          <w:sz w:val="32"/>
          <w:szCs w:val="32"/>
        </w:rPr>
        <w:t>经批准后，该项目的性质、规模、地点、生产工艺和环境保护措施发生重大变动，且可能导致环境影响显著变化</w:t>
      </w:r>
      <w:r>
        <w:rPr>
          <w:rFonts w:hint="eastAsia" w:eastAsia="仿宋_GB2312" w:cs="Times New Roman"/>
          <w:bCs/>
          <w:sz w:val="32"/>
          <w:szCs w:val="32"/>
          <w:lang w:eastAsia="zh-CN"/>
        </w:rPr>
        <w:t>（</w:t>
      </w:r>
      <w:r>
        <w:rPr>
          <w:rFonts w:hint="default" w:ascii="Times New Roman" w:hAnsi="Times New Roman" w:eastAsia="仿宋_GB2312" w:cs="Times New Roman"/>
          <w:bCs/>
          <w:sz w:val="32"/>
          <w:szCs w:val="32"/>
        </w:rPr>
        <w:t>特别是不利环境影响加重</w:t>
      </w:r>
      <w:r>
        <w:rPr>
          <w:rFonts w:hint="eastAsia" w:eastAsia="仿宋_GB2312" w:cs="Times New Roman"/>
          <w:bCs/>
          <w:sz w:val="32"/>
          <w:szCs w:val="32"/>
          <w:lang w:eastAsia="zh-CN"/>
        </w:rPr>
        <w:t>）</w:t>
      </w:r>
      <w:r>
        <w:rPr>
          <w:rFonts w:hint="default" w:ascii="Times New Roman" w:hAnsi="Times New Roman" w:eastAsia="仿宋_GB2312" w:cs="Times New Roman"/>
          <w:bCs/>
          <w:sz w:val="32"/>
          <w:szCs w:val="32"/>
        </w:rPr>
        <w:t>的，应当重新报批该项目环境影响评价报告。</w:t>
      </w:r>
    </w:p>
    <w:p w14:paraId="3ADC61C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bCs/>
          <w:color w:val="FF0000"/>
          <w:sz w:val="32"/>
          <w:szCs w:val="32"/>
          <w:highlight w:val="none"/>
        </w:rPr>
      </w:pPr>
      <w:r>
        <w:rPr>
          <w:rFonts w:hint="default" w:ascii="Times New Roman" w:hAnsi="Times New Roman" w:eastAsia="仿宋_GB2312" w:cs="Times New Roman"/>
          <w:bCs/>
          <w:sz w:val="32"/>
          <w:szCs w:val="32"/>
        </w:rPr>
        <w:t>六、在启动生产设施或者在实际排污之前，按照经批准的环境影响评价文件认真梳理并确认各项环境保护措施落实</w:t>
      </w:r>
      <w:r>
        <w:rPr>
          <w:rFonts w:hint="default" w:ascii="Times New Roman" w:hAnsi="Times New Roman" w:eastAsia="仿宋_GB2312" w:cs="Times New Roman"/>
          <w:bCs/>
          <w:color w:val="auto"/>
          <w:sz w:val="32"/>
          <w:szCs w:val="32"/>
        </w:rPr>
        <w:t>后，</w:t>
      </w:r>
      <w:r>
        <w:rPr>
          <w:rFonts w:hint="default" w:ascii="Times New Roman" w:hAnsi="Times New Roman" w:eastAsia="仿宋_GB2312" w:cs="Times New Roman"/>
          <w:bCs/>
          <w:color w:val="auto"/>
          <w:sz w:val="32"/>
          <w:szCs w:val="32"/>
          <w:highlight w:val="none"/>
        </w:rPr>
        <w:t>依法</w:t>
      </w:r>
      <w:r>
        <w:rPr>
          <w:rFonts w:hint="eastAsia" w:eastAsia="仿宋_GB2312" w:cs="Times New Roman"/>
          <w:bCs/>
          <w:color w:val="auto"/>
          <w:sz w:val="32"/>
          <w:szCs w:val="32"/>
          <w:highlight w:val="none"/>
          <w:lang w:eastAsia="zh-CN"/>
        </w:rPr>
        <w:t>依规办理排污许可相关手续</w:t>
      </w:r>
      <w:r>
        <w:rPr>
          <w:rFonts w:hint="default" w:ascii="Times New Roman" w:hAnsi="Times New Roman" w:eastAsia="仿宋_GB2312" w:cs="Times New Roman"/>
          <w:bCs/>
          <w:color w:val="auto"/>
          <w:sz w:val="32"/>
          <w:szCs w:val="32"/>
          <w:highlight w:val="none"/>
        </w:rPr>
        <w:t>。</w:t>
      </w:r>
    </w:p>
    <w:p w14:paraId="187729A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七、</w:t>
      </w:r>
      <w:r>
        <w:rPr>
          <w:rFonts w:hint="default" w:ascii="Times New Roman" w:hAnsi="Times New Roman" w:eastAsia="仿宋_GB2312" w:cs="Times New Roman"/>
          <w:bCs/>
          <w:sz w:val="32"/>
          <w:szCs w:val="32"/>
          <w:lang w:val="en-US" w:eastAsia="zh-CN"/>
        </w:rPr>
        <w:t>12</w:t>
      </w:r>
      <w:r>
        <w:rPr>
          <w:rFonts w:hint="eastAsia" w:eastAsia="仿宋_GB2312" w:cs="Times New Roman"/>
          <w:bCs/>
          <w:sz w:val="32"/>
          <w:szCs w:val="32"/>
          <w:lang w:val="en-US" w:eastAsia="zh-CN"/>
        </w:rPr>
        <w:t>8</w:t>
      </w:r>
      <w:r>
        <w:rPr>
          <w:rFonts w:hint="default" w:ascii="Times New Roman" w:hAnsi="Times New Roman" w:eastAsia="仿宋_GB2312" w:cs="Times New Roman"/>
          <w:bCs/>
          <w:sz w:val="32"/>
          <w:szCs w:val="32"/>
        </w:rPr>
        <w:t>团城镇和生态保护中心要切实承担事中事后监管主要责任，履行属地监管职责，按照《关于进一步完善建设项目环境保护“三同时”及竣工环境保护自主验收监管工作机制的意见》（环执法〔2021〕70号）要求，加强对该项目环境保护“三同时”及自主验收监管。</w:t>
      </w:r>
    </w:p>
    <w:p w14:paraId="36D8550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八、我局委托师市生态环境保护综合行政执法支队负责该项目的事中事后监管，生态环境监测站按职责开展相关监管工作，我局负责对“三同时”及自主验收监管工作的监督指导。你单位应在接到本批复后20个工作日内，将批准后的环境影响</w:t>
      </w:r>
      <w:r>
        <w:rPr>
          <w:rFonts w:hint="eastAsia" w:eastAsia="仿宋_GB2312" w:cs="Times New Roman"/>
          <w:bCs/>
          <w:sz w:val="32"/>
          <w:szCs w:val="32"/>
          <w:lang w:eastAsia="zh-CN"/>
        </w:rPr>
        <w:t>报告</w:t>
      </w:r>
      <w:r>
        <w:rPr>
          <w:rFonts w:hint="eastAsia" w:eastAsia="仿宋_GB2312" w:cs="Times New Roman"/>
          <w:bCs/>
          <w:sz w:val="32"/>
          <w:szCs w:val="32"/>
          <w:lang w:val="en-US" w:eastAsia="zh-CN"/>
        </w:rPr>
        <w:t>表</w:t>
      </w:r>
      <w:r>
        <w:rPr>
          <w:rFonts w:hint="default" w:ascii="Times New Roman" w:hAnsi="Times New Roman" w:eastAsia="仿宋_GB2312" w:cs="Times New Roman"/>
          <w:bCs/>
          <w:sz w:val="32"/>
          <w:szCs w:val="32"/>
        </w:rPr>
        <w:t>送师市生态环境保护综合行政执法支队、生态环境监测站、</w:t>
      </w:r>
      <w:r>
        <w:rPr>
          <w:rFonts w:hint="default" w:ascii="Times New Roman" w:hAnsi="Times New Roman" w:eastAsia="仿宋_GB2312" w:cs="Times New Roman"/>
          <w:bCs/>
          <w:sz w:val="32"/>
          <w:szCs w:val="32"/>
          <w:lang w:val="en-US" w:eastAsia="zh-CN"/>
        </w:rPr>
        <w:t>12</w:t>
      </w:r>
      <w:r>
        <w:rPr>
          <w:rFonts w:hint="eastAsia" w:eastAsia="仿宋_GB2312" w:cs="Times New Roman"/>
          <w:bCs/>
          <w:sz w:val="32"/>
          <w:szCs w:val="32"/>
          <w:lang w:val="en-US" w:eastAsia="zh-CN"/>
        </w:rPr>
        <w:t>8</w:t>
      </w:r>
      <w:r>
        <w:rPr>
          <w:rFonts w:hint="default" w:ascii="Times New Roman" w:hAnsi="Times New Roman" w:eastAsia="仿宋_GB2312" w:cs="Times New Roman"/>
          <w:bCs/>
          <w:sz w:val="32"/>
          <w:szCs w:val="32"/>
        </w:rPr>
        <w:t>团城镇和生态保护中心，并按规定接受各级生态环境主管部门的监督检查。</w:t>
      </w:r>
    </w:p>
    <w:p w14:paraId="2D655A99">
      <w:pPr>
        <w:keepNext w:val="0"/>
        <w:keepLines w:val="0"/>
        <w:pageBreakBefore w:val="0"/>
        <w:widowControl w:val="0"/>
        <w:kinsoku/>
        <w:wordWrap/>
        <w:overflowPunct/>
        <w:topLinePunct w:val="0"/>
        <w:autoSpaceDE/>
        <w:autoSpaceDN/>
        <w:bidi w:val="0"/>
        <w:adjustRightInd/>
        <w:snapToGrid/>
        <w:spacing w:line="640" w:lineRule="exact"/>
        <w:ind w:firstLine="4480" w:firstLineChars="1400"/>
        <w:textAlignment w:val="auto"/>
        <w:rPr>
          <w:rFonts w:hint="default" w:ascii="Times New Roman" w:hAnsi="Times New Roman" w:eastAsia="仿宋_GB2312" w:cs="Times New Roman"/>
          <w:bCs/>
          <w:sz w:val="32"/>
          <w:szCs w:val="32"/>
        </w:rPr>
      </w:pPr>
    </w:p>
    <w:p w14:paraId="7E138077">
      <w:pPr>
        <w:keepNext w:val="0"/>
        <w:keepLines w:val="0"/>
        <w:pageBreakBefore w:val="0"/>
        <w:widowControl w:val="0"/>
        <w:kinsoku/>
        <w:wordWrap/>
        <w:overflowPunct/>
        <w:topLinePunct w:val="0"/>
        <w:autoSpaceDE/>
        <w:autoSpaceDN/>
        <w:bidi w:val="0"/>
        <w:adjustRightInd/>
        <w:snapToGrid/>
        <w:spacing w:line="640" w:lineRule="exact"/>
        <w:ind w:firstLine="4480" w:firstLineChars="1400"/>
        <w:textAlignment w:val="auto"/>
        <w:rPr>
          <w:rFonts w:hint="default" w:ascii="Times New Roman" w:hAnsi="Times New Roman" w:eastAsia="仿宋_GB2312" w:cs="Times New Roman"/>
          <w:bCs/>
          <w:sz w:val="32"/>
          <w:szCs w:val="32"/>
        </w:rPr>
      </w:pPr>
    </w:p>
    <w:p w14:paraId="352A4FE8">
      <w:pPr>
        <w:spacing w:line="440" w:lineRule="exact"/>
        <w:ind w:firstLine="4480" w:firstLineChars="140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第七师胡杨河市生态环境局</w:t>
      </w:r>
    </w:p>
    <w:p w14:paraId="123E5C04">
      <w:pPr>
        <w:spacing w:line="440" w:lineRule="exact"/>
        <w:ind w:firstLine="5120" w:firstLineChars="1600"/>
        <w:rPr>
          <w:rFonts w:hint="eastAsia"/>
        </w:rPr>
      </w:pPr>
      <w:r>
        <w:rPr>
          <w:rFonts w:hint="default" w:ascii="Times New Roman" w:hAnsi="Times New Roman" w:eastAsia="仿宋_GB2312" w:cs="Times New Roman"/>
          <w:bCs/>
          <w:sz w:val="32"/>
          <w:szCs w:val="32"/>
        </w:rPr>
        <w:t>202</w:t>
      </w:r>
      <w:r>
        <w:rPr>
          <w:rFonts w:hint="eastAsia" w:eastAsia="仿宋_GB2312" w:cs="Times New Roman"/>
          <w:bCs/>
          <w:sz w:val="32"/>
          <w:szCs w:val="32"/>
          <w:lang w:val="en-US" w:eastAsia="zh-CN"/>
        </w:rPr>
        <w:t>5</w:t>
      </w:r>
      <w:r>
        <w:rPr>
          <w:rFonts w:hint="default" w:ascii="Times New Roman" w:hAnsi="Times New Roman" w:eastAsia="仿宋_GB2312" w:cs="Times New Roman"/>
          <w:bCs/>
          <w:sz w:val="32"/>
          <w:szCs w:val="32"/>
        </w:rPr>
        <w:t>年</w:t>
      </w:r>
      <w:r>
        <w:rPr>
          <w:rFonts w:hint="eastAsia" w:eastAsia="仿宋_GB2312" w:cs="Times New Roman"/>
          <w:bCs/>
          <w:sz w:val="32"/>
          <w:szCs w:val="32"/>
          <w:lang w:val="en-US" w:eastAsia="zh-CN"/>
        </w:rPr>
        <w:t>12</w:t>
      </w:r>
      <w:r>
        <w:rPr>
          <w:rFonts w:hint="default" w:ascii="Times New Roman" w:hAnsi="Times New Roman" w:eastAsia="仿宋_GB2312" w:cs="Times New Roman"/>
          <w:bCs/>
          <w:sz w:val="32"/>
          <w:szCs w:val="32"/>
        </w:rPr>
        <w:t>月</w:t>
      </w:r>
      <w:r>
        <w:rPr>
          <w:rFonts w:hint="eastAsia" w:eastAsia="仿宋_GB2312" w:cs="Times New Roman"/>
          <w:bCs/>
          <w:sz w:val="32"/>
          <w:szCs w:val="32"/>
          <w:lang w:val="en-US" w:eastAsia="zh-CN"/>
        </w:rPr>
        <w:t>10</w:t>
      </w:r>
      <w:r>
        <w:rPr>
          <w:rFonts w:hint="default" w:ascii="Times New Roman" w:hAnsi="Times New Roman" w:eastAsia="仿宋_GB2312" w:cs="Times New Roman"/>
          <w:bCs/>
          <w:sz w:val="32"/>
          <w:szCs w:val="32"/>
        </w:rPr>
        <w:t>日</w:t>
      </w:r>
    </w:p>
    <w:p w14:paraId="02375DAC">
      <w:pPr>
        <w:keepNext w:val="0"/>
        <w:keepLines w:val="0"/>
        <w:pageBreakBefore w:val="0"/>
        <w:widowControl w:val="0"/>
        <w:kinsoku/>
        <w:wordWrap/>
        <w:overflowPunct/>
        <w:topLinePunct w:val="0"/>
        <w:autoSpaceDE/>
        <w:autoSpaceDN/>
        <w:bidi w:val="0"/>
        <w:adjustRightInd/>
        <w:snapToGrid/>
        <w:spacing w:line="440" w:lineRule="exact"/>
        <w:ind w:right="210" w:rightChars="100"/>
        <w:textAlignment w:val="auto"/>
        <w:rPr>
          <w:rFonts w:hint="default" w:ascii="Times New Roman" w:hAnsi="Times New Roman" w:eastAsia="仿宋_GB2312" w:cs="Times New Roman"/>
          <w:spacing w:val="-11"/>
          <w:sz w:val="28"/>
          <w:szCs w:val="28"/>
        </w:rPr>
      </w:pPr>
      <w:r>
        <w:rPr>
          <w:rFonts w:hint="default" w:ascii="Times New Roman" w:hAnsi="Times New Roman" w:eastAsia="仿宋_GB2312" w:cs="Times New Roman"/>
          <w:sz w:val="28"/>
          <w:szCs w:val="28"/>
        </w:rPr>
        <mc:AlternateContent>
          <mc:Choice Requires="wps">
            <w:drawing>
              <wp:anchor distT="0" distB="0" distL="114300" distR="114300" simplePos="0" relativeHeight="251660288" behindDoc="0" locked="0" layoutInCell="1" allowOverlap="1">
                <wp:simplePos x="0" y="0"/>
                <wp:positionH relativeFrom="column">
                  <wp:posOffset>-142240</wp:posOffset>
                </wp:positionH>
                <wp:positionV relativeFrom="paragraph">
                  <wp:posOffset>2540</wp:posOffset>
                </wp:positionV>
                <wp:extent cx="5901055" cy="0"/>
                <wp:effectExtent l="0" t="9525" r="4445" b="9525"/>
                <wp:wrapNone/>
                <wp:docPr id="1" name="直接连接符 5"/>
                <wp:cNvGraphicFramePr/>
                <a:graphic xmlns:a="http://schemas.openxmlformats.org/drawingml/2006/main">
                  <a:graphicData uri="http://schemas.microsoft.com/office/word/2010/wordprocessingShape">
                    <wps:wsp>
                      <wps:cNvCnPr/>
                      <wps:spPr>
                        <a:xfrm>
                          <a:off x="0" y="0"/>
                          <a:ext cx="5901055" cy="0"/>
                        </a:xfrm>
                        <a:prstGeom prst="straightConnector1">
                          <a:avLst/>
                        </a:prstGeom>
                        <a:ln w="19050" cap="flat" cmpd="sng">
                          <a:solidFill>
                            <a:srgbClr val="000000"/>
                          </a:solidFill>
                          <a:prstDash val="solid"/>
                          <a:round/>
                          <a:headEnd type="none" w="med" len="med"/>
                          <a:tailEnd type="none" w="med" len="med"/>
                        </a:ln>
                      </wps:spPr>
                      <wps:bodyPr/>
                    </wps:wsp>
                  </a:graphicData>
                </a:graphic>
              </wp:anchor>
            </w:drawing>
          </mc:Choice>
          <mc:Fallback>
            <w:pict>
              <v:shape id="直接连接符 5" o:spid="_x0000_s1026" o:spt="32" type="#_x0000_t32" style="position:absolute;left:0pt;margin-left:-11.2pt;margin-top:0.2pt;height:0pt;width:464.65pt;z-index:251660288;mso-width-relative:page;mso-height-relative:page;" filled="f" stroked="t" coordsize="21600,21600" o:gfxdata="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cwRcddEAAAAFAQAADwAAAAAAAAABACAAAAAiAAAAZHJzL2Rvd25yZXYueG1sUEsBAhQA&#10;FAAAAAgAh07iQHFWSkj5AQAA8QMAAA4AAAAAAAAAAQAgAAAAIAEAAGRycy9lMm9Eb2MueG1sUEsF&#10;BgAAAAAGAAYAWQEAAIsFAAAAAA==&#10;">
                <v:fill on="f" focussize="0,0"/>
                <v:stroke weight="1.5pt" color="#000000" joinstyle="round"/>
                <v:imagedata o:title=""/>
                <o:lock v:ext="edit" aspectratio="f"/>
              </v:shape>
            </w:pict>
          </mc:Fallback>
        </mc:AlternateContent>
      </w:r>
      <w:r>
        <w:rPr>
          <w:rFonts w:hint="default" w:ascii="Times New Roman" w:hAnsi="Times New Roman" w:eastAsia="仿宋_GB2312" w:cs="Times New Roman"/>
          <w:sz w:val="28"/>
          <w:szCs w:val="28"/>
        </w:rPr>
        <w:t>抄送：师市生态环境保护综合行政执法支队、生态环境监测站、</w:t>
      </w:r>
      <w:r>
        <w:rPr>
          <w:rFonts w:hint="default" w:ascii="Times New Roman" w:hAnsi="Times New Roman" w:eastAsia="仿宋_GB2312" w:cs="Times New Roman"/>
          <w:sz w:val="28"/>
          <w:szCs w:val="28"/>
          <w:lang w:val="en-US" w:eastAsia="zh-CN"/>
        </w:rPr>
        <w:t>12</w:t>
      </w:r>
      <w:r>
        <w:rPr>
          <w:rFonts w:hint="eastAsia" w:eastAsia="仿宋_GB2312" w:cs="Times New Roman"/>
          <w:sz w:val="28"/>
          <w:szCs w:val="28"/>
          <w:lang w:val="en-US" w:eastAsia="zh-CN"/>
        </w:rPr>
        <w:t>8</w:t>
      </w:r>
      <w:r>
        <w:rPr>
          <w:rFonts w:hint="default" w:ascii="Times New Roman" w:hAnsi="Times New Roman" w:eastAsia="仿宋_GB2312" w:cs="Times New Roman"/>
          <w:sz w:val="28"/>
          <w:szCs w:val="28"/>
        </w:rPr>
        <w:t>团城镇和生态保护中心。</w:t>
      </w:r>
    </w:p>
    <w:p w14:paraId="4E0858FF">
      <w:pPr>
        <w:spacing w:line="600" w:lineRule="exact"/>
        <w:ind w:right="210" w:rightChars="100"/>
        <w:rPr>
          <w:rFonts w:hint="default" w:ascii="Times New Roman" w:hAnsi="Times New Roman" w:eastAsia="仿宋_GB2312" w:cs="Times New Roman"/>
          <w:lang w:val="en-US" w:eastAsia="zh-CN"/>
        </w:rPr>
      </w:pPr>
      <w:r>
        <w:rPr>
          <w:rFonts w:hint="default" w:ascii="Times New Roman" w:hAnsi="Times New Roman" w:eastAsia="仿宋_GB2312" w:cs="Times New Roman"/>
          <w:sz w:val="28"/>
          <w:szCs w:val="28"/>
        </w:rPr>
        <mc:AlternateContent>
          <mc:Choice Requires="wps">
            <w:drawing>
              <wp:anchor distT="0" distB="0" distL="114300" distR="114300" simplePos="0" relativeHeight="251662336" behindDoc="0" locked="0" layoutInCell="1" allowOverlap="1">
                <wp:simplePos x="0" y="0"/>
                <wp:positionH relativeFrom="column">
                  <wp:posOffset>-152400</wp:posOffset>
                </wp:positionH>
                <wp:positionV relativeFrom="paragraph">
                  <wp:posOffset>371475</wp:posOffset>
                </wp:positionV>
                <wp:extent cx="5930265" cy="1270"/>
                <wp:effectExtent l="0" t="9525" r="13335" b="17780"/>
                <wp:wrapNone/>
                <wp:docPr id="3" name="直接连接符 4"/>
                <wp:cNvGraphicFramePr/>
                <a:graphic xmlns:a="http://schemas.openxmlformats.org/drawingml/2006/main">
                  <a:graphicData uri="http://schemas.microsoft.com/office/word/2010/wordprocessingShape">
                    <wps:wsp>
                      <wps:cNvCnPr/>
                      <wps:spPr>
                        <a:xfrm flipV="1">
                          <a:off x="0" y="0"/>
                          <a:ext cx="5930265" cy="1270"/>
                        </a:xfrm>
                        <a:prstGeom prst="straightConnector1">
                          <a:avLst/>
                        </a:prstGeom>
                        <a:ln w="19050" cap="flat" cmpd="sng">
                          <a:solidFill>
                            <a:srgbClr val="000000"/>
                          </a:solidFill>
                          <a:prstDash val="solid"/>
                          <a:round/>
                          <a:headEnd type="none" w="med" len="med"/>
                          <a:tailEnd type="none" w="med" len="med"/>
                        </a:ln>
                      </wps:spPr>
                      <wps:bodyPr/>
                    </wps:wsp>
                  </a:graphicData>
                </a:graphic>
              </wp:anchor>
            </w:drawing>
          </mc:Choice>
          <mc:Fallback>
            <w:pict>
              <v:shape id="直接连接符 4" o:spid="_x0000_s1026" o:spt="32" type="#_x0000_t32" style="position:absolute;left:0pt;flip:y;margin-left:-12pt;margin-top:29.25pt;height:0.1pt;width:466.95pt;z-index:251662336;mso-width-relative:page;mso-height-relative:page;" filled="f" stroked="t" coordsize="21600,21600" o:gfxdata="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qhDXPtgAAAAJAQAADwAAAAAAAAABACAAAAAiAAAA&#10;ZHJzL2Rvd25yZXYueG1sUEsBAhQAFAAAAAgAh07iQN+/8UIHAgAA/gMAAA4AAAAAAAAAAQAgAAAA&#10;JwEAAGRycy9lMm9Eb2MueG1sUEsFBgAAAAAGAAYAWQEAAKAFAAAAAA==&#10;">
                <v:fill on="f" focussize="0,0"/>
                <v:stroke weight="1.5pt" color="#000000" joinstyle="round"/>
                <v:imagedata o:title=""/>
                <o:lock v:ext="edit" aspectratio="f"/>
              </v:shape>
            </w:pict>
          </mc:Fallback>
        </mc:AlternateContent>
      </w:r>
      <w:r>
        <w:rPr>
          <w:rFonts w:hint="default" w:ascii="Times New Roman" w:hAnsi="Times New Roman" w:eastAsia="仿宋_GB2312" w:cs="Times New Roman"/>
          <w:sz w:val="28"/>
          <w:szCs w:val="28"/>
        </w:rPr>
        <mc:AlternateContent>
          <mc:Choice Requires="wps">
            <w:drawing>
              <wp:anchor distT="0" distB="0" distL="114300" distR="114300" simplePos="0" relativeHeight="251661312" behindDoc="0" locked="0" layoutInCell="1" allowOverlap="1">
                <wp:simplePos x="0" y="0"/>
                <wp:positionH relativeFrom="column">
                  <wp:posOffset>-142875</wp:posOffset>
                </wp:positionH>
                <wp:positionV relativeFrom="paragraph">
                  <wp:posOffset>0</wp:posOffset>
                </wp:positionV>
                <wp:extent cx="5882640" cy="0"/>
                <wp:effectExtent l="0" t="0" r="0" b="0"/>
                <wp:wrapNone/>
                <wp:docPr id="2" name="直接连接符 3"/>
                <wp:cNvGraphicFramePr/>
                <a:graphic xmlns:a="http://schemas.openxmlformats.org/drawingml/2006/main">
                  <a:graphicData uri="http://schemas.microsoft.com/office/word/2010/wordprocessingShape">
                    <wps:wsp>
                      <wps:cNvCnPr/>
                      <wps:spPr>
                        <a:xfrm>
                          <a:off x="0" y="0"/>
                          <a:ext cx="5882640" cy="0"/>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w:pict>
              <v:shape id="直接连接符 3" o:spid="_x0000_s1026" o:spt="32" type="#_x0000_t32" style="position:absolute;left:0pt;margin-left:-11.25pt;margin-top:0pt;height:0pt;width:463.2pt;z-index:251661312;mso-width-relative:page;mso-height-relative:page;" filled="f" stroked="t" coordsize="21600,21600" o:gfxdata="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Dgu0c3UAAAABQEAAA8AAAAAAAAAAQAgAAAAIgAAAGRycy9kb3ducmV2LnhtbFBL&#10;AQIUABQAAAAIAIdO4kDtBQzC+gEAAPADAAAOAAAAAAAAAAEAIAAAACMBAABkcnMvZTJvRG9jLnht&#10;bFBLBQYAAAAABgAGAFkBAACPBQAAAAA=&#10;">
                <v:fill on="f" focussize="0,0"/>
                <v:stroke color="#000000" joinstyle="round"/>
                <v:imagedata o:title=""/>
                <o:lock v:ext="edit" aspectratio="f"/>
              </v:shape>
            </w:pict>
          </mc:Fallback>
        </mc:AlternateContent>
      </w:r>
      <w:r>
        <w:rPr>
          <w:rFonts w:hint="default" w:ascii="Times New Roman" w:hAnsi="Times New Roman" w:eastAsia="仿宋_GB2312" w:cs="Times New Roman"/>
          <w:sz w:val="28"/>
          <w:szCs w:val="28"/>
        </w:rPr>
        <w:t xml:space="preserve">兵团第七师胡杨河市生态环境局            </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202</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rPr>
        <w:t>年</w:t>
      </w:r>
      <w:r>
        <w:rPr>
          <w:rFonts w:hint="eastAsia" w:eastAsia="仿宋_GB2312" w:cs="Times New Roman"/>
          <w:sz w:val="28"/>
          <w:szCs w:val="28"/>
          <w:lang w:val="en-US" w:eastAsia="zh-CN"/>
        </w:rPr>
        <w:t>12</w:t>
      </w:r>
      <w:r>
        <w:rPr>
          <w:rFonts w:hint="default" w:ascii="Times New Roman" w:hAnsi="Times New Roman" w:eastAsia="仿宋_GB2312" w:cs="Times New Roman"/>
          <w:sz w:val="28"/>
          <w:szCs w:val="28"/>
        </w:rPr>
        <w:t>月</w:t>
      </w:r>
      <w:r>
        <w:rPr>
          <w:rFonts w:hint="eastAsia" w:eastAsia="仿宋_GB2312" w:cs="Times New Roman"/>
          <w:sz w:val="28"/>
          <w:szCs w:val="28"/>
          <w:lang w:val="en-US" w:eastAsia="zh-CN"/>
        </w:rPr>
        <w:t>10</w:t>
      </w:r>
      <w:r>
        <w:rPr>
          <w:rFonts w:hint="default" w:ascii="Times New Roman" w:hAnsi="Times New Roman" w:eastAsia="仿宋_GB2312" w:cs="Times New Roman"/>
          <w:sz w:val="28"/>
          <w:szCs w:val="28"/>
        </w:rPr>
        <w:t>日印</w:t>
      </w:r>
      <w:r>
        <w:rPr>
          <w:rFonts w:hint="default" w:ascii="Times New Roman" w:hAnsi="Times New Roman" w:eastAsia="仿宋_GB2312" w:cs="Times New Roman"/>
          <w:sz w:val="28"/>
          <w:szCs w:val="28"/>
          <w:lang w:val="en-US" w:eastAsia="zh-CN"/>
        </w:rPr>
        <w:t>发</w:t>
      </w:r>
    </w:p>
    <w:sectPr>
      <w:footerReference r:id="rId3" w:type="default"/>
      <w:pgSz w:w="11906" w:h="16838"/>
      <w:pgMar w:top="2098" w:right="1474" w:bottom="1984"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F7245A">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-114300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41B10A">
                          <w:pPr>
                            <w:pStyle w:val="7"/>
                            <w:rPr>
                              <w:rFonts w:hint="eastAsia" w:asciiTheme="minorEastAsia" w:hAnsiTheme="minorEastAsia" w:eastAsiaTheme="minorEastAsia" w:cstheme="minorEastAsia"/>
                              <w:sz w:val="28"/>
                              <w:szCs w:val="28"/>
                              <w:lang w:eastAsia="zh-CN"/>
                            </w:rPr>
                          </w:pP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cstheme="minorEastAsia"/>
                              <w:sz w:val="28"/>
                              <w:szCs w:val="28"/>
                              <w:lang w:val="en-US" w:eastAsia="zh-CN"/>
                            </w:rPr>
                            <w:t xml:space="preserve"> </w:t>
                          </w:r>
                          <w:r>
                            <w:rPr>
                              <w:rFonts w:hint="eastAsia" w:asciiTheme="minorEastAsia" w:hAnsiTheme="minorEastAsia" w:cstheme="minorEastAsia"/>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9pt;height:144pt;width:144pt;mso-position-horizontal:outside;mso-position-horizontal-relative:margin;mso-wrap-style:none;z-index:251659264;mso-width-relative:page;mso-height-relative:page;" filled="f" stroked="f" coordsize="21600,21600" o:gfxdata="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XaJ/59QAAAAIAQAADwAAAAAAAAABACAAAAAiAAAAZHJzL2Rvd25yZXYueG1sUEsB&#10;AhQAFAAAAAgAh07iQLqMOCsyAgAAYQQAAA4AAAAAAAAAAQAgAAAAIwEAAGRycy9lMm9Eb2MueG1s&#10;UEsFBgAAAAAGAAYAWQEAAMcFAAAAAA==&#10;">
              <v:fill on="f" focussize="0,0"/>
              <v:stroke on="f" weight="0.5pt"/>
              <v:imagedata o:title=""/>
              <o:lock v:ext="edit" aspectratio="f"/>
              <v:textbox inset="0mm,0mm,0mm,0mm" style="mso-fit-shape-to-text:t;">
                <w:txbxContent>
                  <w:p w14:paraId="4941B10A">
                    <w:pPr>
                      <w:pStyle w:val="7"/>
                      <w:rPr>
                        <w:rFonts w:hint="eastAsia" w:asciiTheme="minorEastAsia" w:hAnsiTheme="minorEastAsia" w:eastAsiaTheme="minorEastAsia" w:cstheme="minorEastAsia"/>
                        <w:sz w:val="28"/>
                        <w:szCs w:val="28"/>
                        <w:lang w:eastAsia="zh-CN"/>
                      </w:rPr>
                    </w:pP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cstheme="minorEastAsia"/>
                        <w:sz w:val="28"/>
                        <w:szCs w:val="28"/>
                        <w:lang w:val="en-US" w:eastAsia="zh-CN"/>
                      </w:rPr>
                      <w:t xml:space="preserve"> </w:t>
                    </w:r>
                    <w:r>
                      <w:rPr>
                        <w:rFonts w:hint="eastAsia" w:asciiTheme="minorEastAsia" w:hAnsiTheme="minorEastAsia" w:cstheme="minorEastAsia"/>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ljZTQ2MWYyYTY5MDNmZDNlOGVlYzE1OWZlNTE2NTUifQ=="/>
  </w:docVars>
  <w:rsids>
    <w:rsidRoot w:val="19A61553"/>
    <w:rsid w:val="00301E8D"/>
    <w:rsid w:val="006F367F"/>
    <w:rsid w:val="00742AA9"/>
    <w:rsid w:val="01B110AA"/>
    <w:rsid w:val="025F2F6C"/>
    <w:rsid w:val="03E07A24"/>
    <w:rsid w:val="0402172C"/>
    <w:rsid w:val="05931CD0"/>
    <w:rsid w:val="06103791"/>
    <w:rsid w:val="064F49ED"/>
    <w:rsid w:val="07EF0236"/>
    <w:rsid w:val="0A0D21E1"/>
    <w:rsid w:val="0A6D7B38"/>
    <w:rsid w:val="0A717628"/>
    <w:rsid w:val="0BD55735"/>
    <w:rsid w:val="0CD67C16"/>
    <w:rsid w:val="0DEC6201"/>
    <w:rsid w:val="0E927B6D"/>
    <w:rsid w:val="0F3A0A84"/>
    <w:rsid w:val="0F8E2A2A"/>
    <w:rsid w:val="0F9811B3"/>
    <w:rsid w:val="10415B91"/>
    <w:rsid w:val="13222B5F"/>
    <w:rsid w:val="1367781A"/>
    <w:rsid w:val="13B33653"/>
    <w:rsid w:val="15E46F00"/>
    <w:rsid w:val="16E516D1"/>
    <w:rsid w:val="193333BB"/>
    <w:rsid w:val="19A61553"/>
    <w:rsid w:val="1ABC044C"/>
    <w:rsid w:val="1CB3762C"/>
    <w:rsid w:val="1D4B3D09"/>
    <w:rsid w:val="1E1F706C"/>
    <w:rsid w:val="1E222CBC"/>
    <w:rsid w:val="1F0C482E"/>
    <w:rsid w:val="2177331E"/>
    <w:rsid w:val="21A1039B"/>
    <w:rsid w:val="24C7636B"/>
    <w:rsid w:val="24F3437F"/>
    <w:rsid w:val="274A3283"/>
    <w:rsid w:val="27E6038A"/>
    <w:rsid w:val="29ED02E2"/>
    <w:rsid w:val="2BE9171D"/>
    <w:rsid w:val="2DB71358"/>
    <w:rsid w:val="2E6647A7"/>
    <w:rsid w:val="2FE778C1"/>
    <w:rsid w:val="30766E97"/>
    <w:rsid w:val="319A0963"/>
    <w:rsid w:val="31DB1B10"/>
    <w:rsid w:val="31DE6AA2"/>
    <w:rsid w:val="325A00D3"/>
    <w:rsid w:val="32EA1B39"/>
    <w:rsid w:val="334B0167"/>
    <w:rsid w:val="3390201E"/>
    <w:rsid w:val="34552334"/>
    <w:rsid w:val="34DB0164"/>
    <w:rsid w:val="34DB0F65"/>
    <w:rsid w:val="35222615"/>
    <w:rsid w:val="35335B87"/>
    <w:rsid w:val="37C91FA2"/>
    <w:rsid w:val="389B146D"/>
    <w:rsid w:val="390336C5"/>
    <w:rsid w:val="39586DFD"/>
    <w:rsid w:val="398622FF"/>
    <w:rsid w:val="3B901665"/>
    <w:rsid w:val="3E3F2FBE"/>
    <w:rsid w:val="3E5263F1"/>
    <w:rsid w:val="3E8F41EC"/>
    <w:rsid w:val="3ED656D0"/>
    <w:rsid w:val="3F004EED"/>
    <w:rsid w:val="41E12475"/>
    <w:rsid w:val="41F36599"/>
    <w:rsid w:val="425C5EED"/>
    <w:rsid w:val="4475215D"/>
    <w:rsid w:val="44AC37CB"/>
    <w:rsid w:val="465316EE"/>
    <w:rsid w:val="46CD5F17"/>
    <w:rsid w:val="46F76C15"/>
    <w:rsid w:val="47623535"/>
    <w:rsid w:val="4A8B785B"/>
    <w:rsid w:val="4B4732F2"/>
    <w:rsid w:val="4B9E0BAE"/>
    <w:rsid w:val="4BE111CF"/>
    <w:rsid w:val="4D3248D1"/>
    <w:rsid w:val="4DF46F02"/>
    <w:rsid w:val="4E1C7BCA"/>
    <w:rsid w:val="4E23273D"/>
    <w:rsid w:val="4E2A19FE"/>
    <w:rsid w:val="4E614CA7"/>
    <w:rsid w:val="4E8B592A"/>
    <w:rsid w:val="5144471C"/>
    <w:rsid w:val="52016A0C"/>
    <w:rsid w:val="521E31BF"/>
    <w:rsid w:val="53732803"/>
    <w:rsid w:val="5445681C"/>
    <w:rsid w:val="54E21B59"/>
    <w:rsid w:val="55F63B99"/>
    <w:rsid w:val="560526E3"/>
    <w:rsid w:val="58D34BF9"/>
    <w:rsid w:val="593C3F2A"/>
    <w:rsid w:val="598D4786"/>
    <w:rsid w:val="59BB12F3"/>
    <w:rsid w:val="5A0B54BA"/>
    <w:rsid w:val="5A132EDD"/>
    <w:rsid w:val="5A2854B0"/>
    <w:rsid w:val="5AD563E4"/>
    <w:rsid w:val="5ADB6D32"/>
    <w:rsid w:val="5BBE331C"/>
    <w:rsid w:val="5E116A2B"/>
    <w:rsid w:val="5EE50BC0"/>
    <w:rsid w:val="5FAA42E4"/>
    <w:rsid w:val="5FCF6BF0"/>
    <w:rsid w:val="609D79A4"/>
    <w:rsid w:val="60BB7E2A"/>
    <w:rsid w:val="6109328C"/>
    <w:rsid w:val="612B239E"/>
    <w:rsid w:val="615F6B97"/>
    <w:rsid w:val="623C143F"/>
    <w:rsid w:val="62A019CE"/>
    <w:rsid w:val="62E3579C"/>
    <w:rsid w:val="644952F5"/>
    <w:rsid w:val="6703077D"/>
    <w:rsid w:val="679C6136"/>
    <w:rsid w:val="68152516"/>
    <w:rsid w:val="698B1E19"/>
    <w:rsid w:val="6CC3509F"/>
    <w:rsid w:val="6F2512C7"/>
    <w:rsid w:val="6F4158DC"/>
    <w:rsid w:val="708446DD"/>
    <w:rsid w:val="7375588F"/>
    <w:rsid w:val="73E5637C"/>
    <w:rsid w:val="75006CB2"/>
    <w:rsid w:val="7516167C"/>
    <w:rsid w:val="75F30136"/>
    <w:rsid w:val="76017E90"/>
    <w:rsid w:val="76CC46E8"/>
    <w:rsid w:val="79AC0800"/>
    <w:rsid w:val="7BE007E5"/>
    <w:rsid w:val="7F4A4B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keepNext/>
      <w:keepLines/>
      <w:widowControl/>
      <w:spacing w:before="260" w:after="260" w:line="416" w:lineRule="auto"/>
      <w:ind w:firstLine="200" w:firstLineChars="200"/>
      <w:outlineLvl w:val="2"/>
    </w:pPr>
    <w:rPr>
      <w:rFonts w:ascii="Times New Roman" w:hAnsi="Times New Roman" w:eastAsia="宋体"/>
      <w:b/>
      <w:bCs/>
      <w:szCs w:val="32"/>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3">
    <w:name w:val="index 5"/>
    <w:basedOn w:val="1"/>
    <w:next w:val="1"/>
    <w:qFormat/>
    <w:uiPriority w:val="0"/>
    <w:pPr>
      <w:ind w:left="800" w:leftChars="800"/>
    </w:pPr>
  </w:style>
  <w:style w:type="paragraph" w:styleId="4">
    <w:name w:val="Body Text"/>
    <w:basedOn w:val="1"/>
    <w:next w:val="5"/>
    <w:qFormat/>
    <w:uiPriority w:val="0"/>
    <w:rPr>
      <w:rFonts w:eastAsia="华文中宋"/>
      <w:b/>
      <w:bCs/>
      <w:w w:val="90"/>
      <w:sz w:val="44"/>
    </w:rPr>
  </w:style>
  <w:style w:type="paragraph" w:customStyle="1" w:styleId="5">
    <w:name w:val="Default"/>
    <w:basedOn w:val="6"/>
    <w:next w:val="1"/>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6">
    <w:name w:val="1 表头"/>
    <w:basedOn w:val="1"/>
    <w:qFormat/>
    <w:uiPriority w:val="0"/>
    <w:pPr>
      <w:adjustRightInd w:val="0"/>
      <w:snapToGrid w:val="0"/>
      <w:spacing w:line="240" w:lineRule="auto"/>
      <w:ind w:firstLine="0" w:firstLineChars="0"/>
      <w:jc w:val="center"/>
    </w:pPr>
    <w:rPr>
      <w:b/>
      <w:color w:val="000000"/>
      <w:sz w:val="21"/>
      <w:szCs w:val="21"/>
    </w:rPr>
  </w:style>
  <w:style w:type="paragraph" w:styleId="7">
    <w:name w:val="footer"/>
    <w:basedOn w:val="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8">
    <w:name w:val="List"/>
    <w:basedOn w:val="1"/>
    <w:qFormat/>
    <w:uiPriority w:val="0"/>
    <w:pPr>
      <w:ind w:left="200" w:hanging="200" w:hangingChars="200"/>
    </w:pPr>
  </w:style>
  <w:style w:type="paragraph" w:styleId="9">
    <w:name w:val="footnote text"/>
    <w:basedOn w:val="1"/>
    <w:next w:val="3"/>
    <w:unhideWhenUsed/>
    <w:qFormat/>
    <w:uiPriority w:val="99"/>
    <w:pPr>
      <w:snapToGrid w:val="0"/>
      <w:jc w:val="left"/>
    </w:pPr>
    <w:rPr>
      <w:rFonts w:ascii="Calibri" w:hAnsi="Calibri" w:eastAsia="仿宋" w:cs="Times New Roman"/>
      <w:sz w:val="18"/>
      <w:szCs w:val="18"/>
    </w:rPr>
  </w:style>
  <w:style w:type="paragraph" w:styleId="10">
    <w:name w:val="Body Text 2"/>
    <w:basedOn w:val="1"/>
    <w:unhideWhenUsed/>
    <w:qFormat/>
    <w:uiPriority w:val="99"/>
    <w:pPr>
      <w:spacing w:after="120" w:line="480" w:lineRule="auto"/>
    </w:pPr>
  </w:style>
  <w:style w:type="paragraph" w:customStyle="1" w:styleId="13">
    <w:name w:val="纯文本1"/>
    <w:basedOn w:val="1"/>
    <w:qFormat/>
    <w:uiPriority w:val="0"/>
    <w:pPr>
      <w:adjustRightInd w:val="0"/>
      <w:textAlignment w:val="baseline"/>
    </w:pPr>
    <w:rPr>
      <w:rFonts w:ascii="宋体" w:hAnsi="Courier New"/>
      <w:szCs w:val="20"/>
    </w:rPr>
  </w:style>
  <w:style w:type="paragraph" w:customStyle="1" w:styleId="14">
    <w:name w:val="xl27"/>
    <w:basedOn w:val="1"/>
    <w:qFormat/>
    <w:uiPriority w:val="0"/>
    <w:pPr>
      <w:widowControl/>
      <w:pBdr>
        <w:bottom w:val="single" w:color="auto" w:sz="4" w:space="0"/>
        <w:right w:val="single" w:color="auto" w:sz="4" w:space="0"/>
      </w:pBdr>
      <w:spacing w:before="100" w:beforeAutospacing="1" w:after="100" w:afterAutospacing="1"/>
      <w:jc w:val="center"/>
    </w:pPr>
    <w:rPr>
      <w:rFonts w:eastAsia="Arial Unicode MS"/>
      <w:kern w:val="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2127</Words>
  <Characters>2262</Characters>
  <Lines>0</Lines>
  <Paragraphs>0</Paragraphs>
  <TotalTime>70</TotalTime>
  <ScaleCrop>false</ScaleCrop>
  <LinksUpToDate>false</LinksUpToDate>
  <CharactersWithSpaces>2310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2024-08-23T02:46:00Z</dcterms:created>
  <dc:creator>Administrator</dc:creator>
  <cp:lastModifiedBy>风的自由</cp:lastModifiedBy>
  <cp:lastPrinted>2025-11-04T09:29:00Z</cp:lastPrinted>
  <dcterms:modified xsi:type="dcterms:W3CDTF">2025-12-10T02:08:24Z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464E8271FAB54999B101E7B4168DDEE7_13</vt:lpwstr>
  </property>
  <property fmtid="{D5CDD505-2E9C-101B-9397-08002B2CF9AE}" pid="4" name="KSOTemplateDocerSaveRecord">
    <vt:lpwstr>eyJoZGlkIjoiODBjNzYxYmIzOWJkMDlmNzJmZjdjMmNkNDkzMGYxZDkiLCJ1c2VySWQiOiI1NTE5NjI2NTYifQ==</vt:lpwstr>
  </property>
</Properties>
</file>