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FA8662">
      <w:pPr>
        <w:keepNext w:val="0"/>
        <w:keepLines w:val="0"/>
        <w:pageBreakBefore w:val="0"/>
        <w:widowControl w:val="0"/>
        <w:tabs>
          <w:tab w:val="left" w:pos="4982"/>
        </w:tabs>
        <w:kinsoku/>
        <w:wordWrap/>
        <w:overflowPunct/>
        <w:topLinePunct w:val="0"/>
        <w:autoSpaceDE/>
        <w:autoSpaceDN/>
        <w:bidi w:val="0"/>
        <w:adjustRightInd/>
        <w:snapToGrid/>
        <w:spacing w:line="800" w:lineRule="exact"/>
        <w:textAlignment w:val="auto"/>
        <w:rPr>
          <w:rFonts w:hint="default" w:ascii="仿宋_GB2312" w:eastAsia="仿宋_GB2312"/>
          <w:snapToGrid w:val="0"/>
          <w:kern w:val="0"/>
          <w:sz w:val="32"/>
          <w:szCs w:val="32"/>
          <w:lang w:val="en-US" w:eastAsia="zh-CN"/>
        </w:rPr>
      </w:pPr>
      <w:r>
        <w:rPr>
          <w:rFonts w:hint="eastAsia" w:ascii="仿宋_GB2312" w:eastAsia="仿宋_GB2312"/>
          <w:snapToGrid w:val="0"/>
          <w:kern w:val="0"/>
          <w:sz w:val="32"/>
          <w:szCs w:val="32"/>
          <w:lang w:val="en-US" w:eastAsia="zh-CN"/>
        </w:rPr>
        <w:tab/>
      </w:r>
    </w:p>
    <w:p w14:paraId="72AD179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napToGrid w:val="0"/>
          <w:kern w:val="0"/>
          <w:sz w:val="32"/>
          <w:szCs w:val="32"/>
        </w:rPr>
      </w:pPr>
      <w:r>
        <w:rPr>
          <w:rFonts w:hint="eastAsia" w:ascii="仿宋_GB2312" w:eastAsia="仿宋_GB2312"/>
          <w:snapToGrid w:val="0"/>
          <w:kern w:val="0"/>
          <w:sz w:val="32"/>
          <w:szCs w:val="32"/>
        </w:rPr>
        <w:t xml:space="preserve">                              </w:t>
      </w:r>
      <w:r>
        <w:rPr>
          <w:rFonts w:hint="default" w:ascii="Times New Roman" w:hAnsi="Times New Roman" w:eastAsia="仿宋_GB2312" w:cs="Times New Roman"/>
          <w:snapToGrid w:val="0"/>
          <w:kern w:val="0"/>
          <w:sz w:val="32"/>
          <w:szCs w:val="32"/>
        </w:rPr>
        <w:t xml:space="preserve">  师市环审〔202</w:t>
      </w:r>
      <w:r>
        <w:rPr>
          <w:rFonts w:hint="default" w:ascii="Times New Roman" w:hAnsi="Times New Roman" w:eastAsia="仿宋_GB2312" w:cs="Times New Roman"/>
          <w:snapToGrid w:val="0"/>
          <w:kern w:val="0"/>
          <w:sz w:val="32"/>
          <w:szCs w:val="32"/>
          <w:lang w:val="en-US" w:eastAsia="zh-CN"/>
        </w:rPr>
        <w:t>5</w:t>
      </w:r>
      <w:r>
        <w:rPr>
          <w:rFonts w:hint="default" w:ascii="Times New Roman" w:hAnsi="Times New Roman" w:eastAsia="仿宋_GB2312" w:cs="Times New Roman"/>
          <w:snapToGrid w:val="0"/>
          <w:kern w:val="0"/>
          <w:sz w:val="32"/>
          <w:szCs w:val="32"/>
        </w:rPr>
        <w:t>〕</w:t>
      </w:r>
      <w:r>
        <w:rPr>
          <w:rFonts w:hint="eastAsia" w:eastAsia="仿宋_GB2312" w:cs="Times New Roman"/>
          <w:snapToGrid w:val="0"/>
          <w:kern w:val="0"/>
          <w:sz w:val="32"/>
          <w:szCs w:val="32"/>
          <w:lang w:val="en-US" w:eastAsia="zh-CN"/>
        </w:rPr>
        <w:t>58</w:t>
      </w:r>
      <w:r>
        <w:rPr>
          <w:rFonts w:hint="default" w:ascii="Times New Roman" w:hAnsi="Times New Roman" w:eastAsia="仿宋_GB2312" w:cs="Times New Roman"/>
          <w:snapToGrid w:val="0"/>
          <w:kern w:val="0"/>
          <w:sz w:val="32"/>
          <w:szCs w:val="32"/>
        </w:rPr>
        <w:t>号</w:t>
      </w:r>
    </w:p>
    <w:p w14:paraId="3A98C3E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宋体" w:eastAsia="方正小标宋简体"/>
          <w:bCs/>
          <w:snapToGrid w:val="0"/>
          <w:kern w:val="0"/>
          <w:sz w:val="44"/>
          <w:szCs w:val="44"/>
        </w:rPr>
      </w:pPr>
    </w:p>
    <w:p w14:paraId="25B1B22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kern w:val="1"/>
          <w:sz w:val="44"/>
          <w:szCs w:val="44"/>
          <w:highlight w:val="none"/>
          <w:lang w:val="zh-CN" w:eastAsia="zh-CN"/>
        </w:rPr>
      </w:pPr>
      <w:r>
        <w:rPr>
          <w:rFonts w:hint="eastAsia" w:ascii="方正小标宋简体" w:hAnsi="方正小标宋简体" w:eastAsia="方正小标宋简体" w:cs="方正小标宋简体"/>
          <w:bCs/>
          <w:snapToGrid w:val="0"/>
          <w:kern w:val="0"/>
          <w:sz w:val="44"/>
          <w:szCs w:val="44"/>
        </w:rPr>
        <w:t>关于</w:t>
      </w:r>
      <w:r>
        <w:rPr>
          <w:rFonts w:hint="eastAsia" w:ascii="方正小标宋简体" w:hAnsi="方正小标宋简体" w:eastAsia="方正小标宋简体" w:cs="方正小标宋简体"/>
          <w:color w:val="auto"/>
          <w:w w:val="95"/>
          <w:kern w:val="1"/>
          <w:sz w:val="44"/>
          <w:szCs w:val="44"/>
          <w:highlight w:val="none"/>
          <w:lang w:val="zh-CN" w:eastAsia="zh-CN"/>
        </w:rPr>
        <w:t>第七师胡杨河市BD融合2GW光伏（新</w:t>
      </w:r>
      <w:r>
        <w:rPr>
          <w:rFonts w:hint="eastAsia" w:ascii="方正小标宋简体" w:hAnsi="方正小标宋简体" w:eastAsia="方正小标宋简体" w:cs="方正小标宋简体"/>
          <w:color w:val="auto"/>
          <w:kern w:val="1"/>
          <w:sz w:val="44"/>
          <w:szCs w:val="44"/>
          <w:highlight w:val="none"/>
          <w:lang w:val="zh-CN" w:eastAsia="zh-CN"/>
        </w:rPr>
        <w:t>疆兴起航新能源有限公司1GW）项目220kV</w:t>
      </w:r>
    </w:p>
    <w:p w14:paraId="42D5E5A9">
      <w:pPr>
        <w:spacing w:line="600" w:lineRule="exact"/>
        <w:jc w:val="center"/>
        <w:rPr>
          <w:rFonts w:hint="eastAsia" w:ascii="方正小标宋简体" w:hAnsi="方正小标宋简体" w:eastAsia="方正小标宋简体" w:cs="方正小标宋简体"/>
          <w:bCs/>
          <w:snapToGrid w:val="0"/>
          <w:kern w:val="0"/>
          <w:sz w:val="44"/>
          <w:szCs w:val="44"/>
          <w:lang w:val="zh-CN"/>
        </w:rPr>
      </w:pPr>
      <w:r>
        <w:rPr>
          <w:rFonts w:hint="eastAsia" w:ascii="方正小标宋简体" w:hAnsi="方正小标宋简体" w:eastAsia="方正小标宋简体" w:cs="方正小标宋简体"/>
          <w:color w:val="auto"/>
          <w:kern w:val="1"/>
          <w:sz w:val="44"/>
          <w:szCs w:val="44"/>
          <w:highlight w:val="none"/>
          <w:lang w:val="zh-CN" w:eastAsia="zh-CN"/>
        </w:rPr>
        <w:t>升压汇集站及配套送出线路工程</w:t>
      </w:r>
      <w:r>
        <w:rPr>
          <w:rFonts w:hint="eastAsia" w:ascii="方正小标宋简体" w:hAnsi="方正小标宋简体" w:eastAsia="方正小标宋简体" w:cs="方正小标宋简体"/>
          <w:bCs/>
          <w:snapToGrid w:val="0"/>
          <w:kern w:val="0"/>
          <w:sz w:val="44"/>
          <w:szCs w:val="44"/>
          <w:lang w:val="zh-CN"/>
        </w:rPr>
        <w:t>环境影响</w:t>
      </w:r>
    </w:p>
    <w:p w14:paraId="3780CAF5">
      <w:pPr>
        <w:spacing w:line="600" w:lineRule="exact"/>
        <w:jc w:val="center"/>
        <w:rPr>
          <w:rFonts w:ascii="方正小标宋简体" w:hAnsi="宋体" w:eastAsia="方正小标宋简体"/>
          <w:bCs/>
          <w:snapToGrid w:val="0"/>
          <w:kern w:val="0"/>
          <w:sz w:val="44"/>
          <w:szCs w:val="44"/>
        </w:rPr>
      </w:pPr>
      <w:r>
        <w:rPr>
          <w:rFonts w:hint="eastAsia" w:ascii="方正小标宋简体" w:hAnsi="方正小标宋简体" w:eastAsia="方正小标宋简体" w:cs="方正小标宋简体"/>
          <w:bCs/>
          <w:snapToGrid w:val="0"/>
          <w:kern w:val="0"/>
          <w:sz w:val="44"/>
          <w:szCs w:val="44"/>
          <w:lang w:val="zh-CN"/>
        </w:rPr>
        <w:t>报告</w:t>
      </w:r>
      <w:r>
        <w:rPr>
          <w:rFonts w:hint="eastAsia" w:ascii="方正小标宋简体" w:hAnsi="方正小标宋简体" w:eastAsia="方正小标宋简体" w:cs="方正小标宋简体"/>
          <w:bCs/>
          <w:snapToGrid w:val="0"/>
          <w:kern w:val="0"/>
          <w:sz w:val="44"/>
          <w:szCs w:val="44"/>
        </w:rPr>
        <w:t>表</w:t>
      </w:r>
      <w:r>
        <w:rPr>
          <w:rFonts w:hint="eastAsia" w:ascii="方正小标宋简体" w:hAnsi="方正小标宋简体" w:eastAsia="方正小标宋简体" w:cs="方正小标宋简体"/>
          <w:bCs/>
          <w:snapToGrid w:val="0"/>
          <w:kern w:val="0"/>
          <w:sz w:val="44"/>
          <w:szCs w:val="44"/>
          <w:lang w:val="en-US" w:eastAsia="zh-CN"/>
        </w:rPr>
        <w:t>的</w:t>
      </w:r>
      <w:r>
        <w:rPr>
          <w:rFonts w:hint="eastAsia" w:ascii="方正小标宋简体" w:hAnsi="方正小标宋简体" w:eastAsia="方正小标宋简体" w:cs="方正小标宋简体"/>
          <w:bCs/>
          <w:snapToGrid w:val="0"/>
          <w:kern w:val="0"/>
          <w:sz w:val="44"/>
          <w:szCs w:val="44"/>
        </w:rPr>
        <w:t>批复</w:t>
      </w:r>
    </w:p>
    <w:p w14:paraId="42D8EB1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bCs/>
          <w:snapToGrid w:val="0"/>
          <w:kern w:val="0"/>
          <w:sz w:val="32"/>
          <w:szCs w:val="32"/>
        </w:rPr>
      </w:pPr>
    </w:p>
    <w:p w14:paraId="221A86A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新疆</w:t>
      </w:r>
      <w:r>
        <w:rPr>
          <w:rFonts w:hint="eastAsia" w:eastAsia="仿宋_GB2312" w:cs="Times New Roman"/>
          <w:sz w:val="32"/>
          <w:szCs w:val="32"/>
          <w:lang w:val="en-US" w:eastAsia="zh-CN"/>
        </w:rPr>
        <w:t>兴起航新能源有限公司</w:t>
      </w:r>
      <w:r>
        <w:rPr>
          <w:rFonts w:hint="default" w:ascii="Times New Roman" w:hAnsi="Times New Roman" w:eastAsia="仿宋_GB2312" w:cs="Times New Roman"/>
          <w:sz w:val="32"/>
          <w:szCs w:val="32"/>
        </w:rPr>
        <w:t>：</w:t>
      </w:r>
    </w:p>
    <w:p w14:paraId="45C29A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你公司《关于审批&lt;</w:t>
      </w:r>
      <w:r>
        <w:rPr>
          <w:rFonts w:hint="default" w:ascii="Times New Roman" w:hAnsi="Times New Roman" w:eastAsia="仿宋_GB2312" w:cs="Times New Roman"/>
          <w:sz w:val="32"/>
          <w:szCs w:val="32"/>
          <w:lang w:val="zh-CN" w:eastAsia="zh-CN"/>
        </w:rPr>
        <w:t>第七师胡杨河市BD融合2GW光伏（新疆兴起航新能源有限公司1GW）项目220kV升压汇集站及配套送出线路工程</w:t>
      </w:r>
      <w:r>
        <w:rPr>
          <w:rFonts w:hint="default" w:ascii="Times New Roman" w:hAnsi="Times New Roman" w:eastAsia="仿宋_GB2312" w:cs="Times New Roman"/>
          <w:sz w:val="32"/>
          <w:szCs w:val="32"/>
        </w:rPr>
        <w:t>&gt;的请示》收悉。经研究，批复如下：</w:t>
      </w:r>
    </w:p>
    <w:p w14:paraId="6FCB81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s="Times New Roman"/>
          <w:sz w:val="32"/>
          <w:szCs w:val="32"/>
          <w:lang w:val="en-US" w:eastAsia="zh-CN"/>
        </w:rPr>
      </w:pPr>
      <w:r>
        <w:rPr>
          <w:rFonts w:hint="default" w:ascii="Times New Roman" w:hAnsi="Times New Roman" w:eastAsia="仿宋_GB2312" w:cs="Times New Roman"/>
          <w:sz w:val="32"/>
          <w:szCs w:val="32"/>
        </w:rPr>
        <w:t>一、该项目</w:t>
      </w:r>
      <w:r>
        <w:rPr>
          <w:rFonts w:hint="default" w:ascii="Times New Roman" w:hAnsi="Times New Roman" w:eastAsia="仿宋_GB2312" w:cs="Times New Roman"/>
          <w:sz w:val="32"/>
          <w:szCs w:val="32"/>
          <w:lang w:val="en-US" w:eastAsia="zh-CN"/>
        </w:rPr>
        <w:t>220千伏升汇集压站（含储能区）位于塔城地区乌苏市古尔图镇</w:t>
      </w:r>
      <w:r>
        <w:rPr>
          <w:rFonts w:hint="eastAsia" w:eastAsia="仿宋_GB2312" w:cs="Times New Roman"/>
          <w:sz w:val="32"/>
          <w:szCs w:val="32"/>
          <w:lang w:val="en-US" w:eastAsia="zh-CN"/>
        </w:rPr>
        <w:t>，中心地理位置坐标为：东经84°6′50.105″，北纬44°43′7.887″；220千伏输电线路起于此次新建的220千伏升压汇集站，止于天北经开区220千伏变电站。输电线路起点坐标为：东经84°6′33.616″，北纬44°42′58.231″，终点坐标为：东经84°53′8.046″，北纬44°28′17.033″。项目为新建工程，建设220千伏升压汇集站（含储能区）一座，220千伏输电线路一条，总长度为79千米，双回路架设，总占地面积94013平方米。项目总投资58791万元，其中环保投资213.4万元，占总投资的0.36%。</w:t>
      </w:r>
    </w:p>
    <w:p w14:paraId="7E1141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w:t>
      </w:r>
      <w:r>
        <w:rPr>
          <w:rFonts w:hint="default" w:ascii="Times New Roman" w:hAnsi="Times New Roman" w:eastAsia="仿宋_GB2312" w:cs="Times New Roman"/>
          <w:bCs/>
          <w:sz w:val="32"/>
          <w:szCs w:val="32"/>
        </w:rPr>
        <w:t>项目实施后会对环境造成一定不利影响，必须严格落实各项污染防治和生态环境保护措施，采取严格的环境风险防范措施、环境管理制度、环境监控和应急措施。综合考虑，我局原则同意该项目环境影响</w:t>
      </w:r>
      <w:r>
        <w:rPr>
          <w:rFonts w:hint="eastAsia" w:eastAsia="仿宋_GB2312" w:cs="Times New Roman"/>
          <w:bCs/>
          <w:sz w:val="32"/>
          <w:szCs w:val="32"/>
          <w:lang w:eastAsia="zh-CN"/>
        </w:rPr>
        <w:t>报告</w:t>
      </w:r>
      <w:r>
        <w:rPr>
          <w:rFonts w:hint="eastAsia" w:eastAsia="仿宋_GB2312" w:cs="Times New Roman"/>
          <w:bCs/>
          <w:sz w:val="32"/>
          <w:szCs w:val="32"/>
          <w:lang w:val="en-US" w:eastAsia="zh-CN"/>
        </w:rPr>
        <w:t>表</w:t>
      </w:r>
      <w:r>
        <w:rPr>
          <w:rFonts w:hint="default" w:ascii="Times New Roman" w:hAnsi="Times New Roman" w:eastAsia="仿宋_GB2312" w:cs="Times New Roman"/>
          <w:bCs/>
          <w:sz w:val="32"/>
          <w:szCs w:val="32"/>
        </w:rPr>
        <w:t>中所列建设项目的性质、规模、地点、工艺和环境保护对策措施。</w:t>
      </w:r>
    </w:p>
    <w:p w14:paraId="6AF414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三、</w:t>
      </w:r>
      <w:r>
        <w:rPr>
          <w:rFonts w:hint="default" w:ascii="Times New Roman" w:hAnsi="Times New Roman" w:eastAsia="仿宋_GB2312" w:cs="Times New Roman"/>
          <w:bCs/>
          <w:sz w:val="32"/>
          <w:szCs w:val="32"/>
        </w:rPr>
        <w:t>项目建设和运营中应重点做好的工作：</w:t>
      </w:r>
    </w:p>
    <w:p w14:paraId="411CA4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sz w:val="32"/>
          <w:szCs w:val="32"/>
        </w:rPr>
        <w:t>（一）严格落实生态保护措施。加强对管理</w:t>
      </w:r>
      <w:r>
        <w:rPr>
          <w:rFonts w:hint="eastAsia" w:eastAsia="仿宋_GB2312" w:cs="Times New Roman"/>
          <w:b w:val="0"/>
          <w:bCs/>
          <w:sz w:val="32"/>
          <w:szCs w:val="32"/>
          <w:lang w:eastAsia="zh-CN"/>
        </w:rPr>
        <w:t>、</w:t>
      </w:r>
      <w:r>
        <w:rPr>
          <w:rFonts w:hint="default" w:ascii="Times New Roman" w:hAnsi="Times New Roman" w:eastAsia="仿宋_GB2312" w:cs="Times New Roman"/>
          <w:b w:val="0"/>
          <w:bCs/>
          <w:sz w:val="32"/>
          <w:szCs w:val="32"/>
        </w:rPr>
        <w:t>施工人员的教育，设置环保宣传牌</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lang w:val="en-US" w:eastAsia="zh-CN"/>
        </w:rPr>
        <w:t>控制施工范围；做好施工规划、组织工作，明确可能扰动和破坏的范围；施工过程中做好土石方平衡，降低开挖造成的水土流失；严禁捕杀野生动物；施工作业结束后，及时平整各类施工迹地，恢复原有地貌，防止新增水土流失。</w:t>
      </w:r>
    </w:p>
    <w:p w14:paraId="3AE531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eastAsia" w:eastAsia="仿宋_GB2312" w:cs="Times New Roman"/>
          <w:sz w:val="32"/>
          <w:szCs w:val="32"/>
          <w:lang w:val="en-US" w:eastAsia="zh-CN"/>
        </w:rPr>
        <w:t>二</w:t>
      </w:r>
      <w:r>
        <w:rPr>
          <w:rFonts w:hint="default" w:ascii="Times New Roman" w:hAnsi="Times New Roman" w:eastAsia="仿宋_GB2312" w:cs="Times New Roman"/>
          <w:sz w:val="32"/>
          <w:szCs w:val="32"/>
          <w:lang w:eastAsia="zh-CN"/>
        </w:rPr>
        <w:t>）严格落实电磁环境保护措施。选用具有抗干扰能力的设备，保障变电站内各电气设备良好的接地状态；合理布局</w:t>
      </w:r>
      <w:r>
        <w:rPr>
          <w:rFonts w:hint="default" w:ascii="Times New Roman" w:hAnsi="Times New Roman" w:eastAsia="仿宋_GB2312" w:cs="Times New Roman"/>
          <w:sz w:val="32"/>
          <w:szCs w:val="32"/>
          <w:lang w:val="en-US" w:eastAsia="zh-CN"/>
        </w:rPr>
        <w:t>变电</w:t>
      </w:r>
      <w:r>
        <w:rPr>
          <w:rFonts w:hint="default" w:ascii="Times New Roman" w:hAnsi="Times New Roman" w:eastAsia="仿宋_GB2312" w:cs="Times New Roman"/>
          <w:sz w:val="32"/>
          <w:szCs w:val="32"/>
          <w:lang w:eastAsia="zh-CN"/>
        </w:rPr>
        <w:t>站内电气设备及配电装置；</w:t>
      </w:r>
      <w:r>
        <w:rPr>
          <w:rFonts w:hint="default" w:ascii="Times New Roman" w:hAnsi="Times New Roman" w:eastAsia="仿宋_GB2312" w:cs="Times New Roman"/>
          <w:sz w:val="32"/>
          <w:szCs w:val="32"/>
          <w:lang w:val="en-US" w:eastAsia="zh-CN"/>
        </w:rPr>
        <w:t>升压汇集站</w:t>
      </w:r>
      <w:r>
        <w:rPr>
          <w:rFonts w:hint="default" w:ascii="Times New Roman" w:hAnsi="Times New Roman" w:eastAsia="仿宋_GB2312" w:cs="Times New Roman"/>
          <w:sz w:val="32"/>
          <w:szCs w:val="32"/>
          <w:lang w:eastAsia="zh-CN"/>
        </w:rPr>
        <w:t>设立电磁防护安全警示标志，禁止无关人员靠近带电架构；</w:t>
      </w:r>
      <w:r>
        <w:rPr>
          <w:rFonts w:hint="default" w:ascii="Times New Roman" w:hAnsi="Times New Roman" w:eastAsia="仿宋_GB2312" w:cs="Times New Roman"/>
          <w:sz w:val="32"/>
          <w:szCs w:val="32"/>
          <w:lang w:val="en-US" w:eastAsia="zh-CN"/>
        </w:rPr>
        <w:t>输电</w:t>
      </w:r>
      <w:r>
        <w:rPr>
          <w:rFonts w:hint="default" w:ascii="Times New Roman" w:hAnsi="Times New Roman" w:eastAsia="仿宋_GB2312" w:cs="Times New Roman"/>
          <w:sz w:val="32"/>
          <w:szCs w:val="32"/>
          <w:lang w:eastAsia="zh-CN"/>
        </w:rPr>
        <w:t>线路严格按照有关规范要求留有足够净空距离，</w:t>
      </w:r>
      <w:bookmarkStart w:id="0" w:name="_GoBack"/>
      <w:r>
        <w:rPr>
          <w:rFonts w:hint="default" w:ascii="Times New Roman" w:hAnsi="Times New Roman" w:eastAsia="仿宋_GB2312" w:cs="Times New Roman"/>
          <w:sz w:val="32"/>
          <w:szCs w:val="32"/>
          <w:lang w:val="en-US" w:eastAsia="zh-CN"/>
        </w:rPr>
        <w:t>降低</w:t>
      </w:r>
      <w:r>
        <w:rPr>
          <w:rFonts w:hint="default" w:ascii="Times New Roman" w:hAnsi="Times New Roman" w:eastAsia="仿宋_GB2312" w:cs="Times New Roman"/>
          <w:sz w:val="32"/>
          <w:szCs w:val="32"/>
          <w:lang w:eastAsia="zh-CN"/>
        </w:rPr>
        <w:t>线路运行</w:t>
      </w:r>
      <w:bookmarkEnd w:id="0"/>
      <w:r>
        <w:rPr>
          <w:rFonts w:hint="default" w:ascii="Times New Roman" w:hAnsi="Times New Roman" w:eastAsia="仿宋_GB2312" w:cs="Times New Roman"/>
          <w:sz w:val="32"/>
          <w:szCs w:val="32"/>
          <w:lang w:eastAsia="zh-CN"/>
        </w:rPr>
        <w:t>对交叉跨越对象的</w:t>
      </w:r>
      <w:r>
        <w:rPr>
          <w:rFonts w:hint="default" w:ascii="Times New Roman" w:hAnsi="Times New Roman" w:eastAsia="仿宋_GB2312" w:cs="Times New Roman"/>
          <w:sz w:val="32"/>
          <w:szCs w:val="32"/>
          <w:lang w:val="en-US" w:eastAsia="zh-CN"/>
        </w:rPr>
        <w:t>电磁环境</w:t>
      </w:r>
      <w:r>
        <w:rPr>
          <w:rFonts w:hint="default" w:ascii="Times New Roman" w:hAnsi="Times New Roman" w:eastAsia="仿宋_GB2312" w:cs="Times New Roman"/>
          <w:sz w:val="32"/>
          <w:szCs w:val="32"/>
          <w:lang w:eastAsia="zh-CN"/>
        </w:rPr>
        <w:t>影响；加强工作人员宣传教育，</w:t>
      </w:r>
      <w:r>
        <w:rPr>
          <w:rFonts w:hint="default" w:ascii="Times New Roman" w:hAnsi="Times New Roman" w:eastAsia="仿宋_GB2312" w:cs="Times New Roman"/>
          <w:sz w:val="32"/>
          <w:szCs w:val="32"/>
          <w:lang w:val="en-US" w:eastAsia="zh-CN"/>
        </w:rPr>
        <w:t>增强</w:t>
      </w:r>
      <w:r>
        <w:rPr>
          <w:rFonts w:hint="default" w:ascii="Times New Roman" w:hAnsi="Times New Roman" w:eastAsia="仿宋_GB2312" w:cs="Times New Roman"/>
          <w:sz w:val="32"/>
          <w:szCs w:val="32"/>
          <w:lang w:eastAsia="zh-CN"/>
        </w:rPr>
        <w:t>防护意识，在巡检带电维修过程中，尽可能减少</w:t>
      </w:r>
      <w:r>
        <w:rPr>
          <w:rFonts w:hint="default" w:ascii="Times New Roman" w:hAnsi="Times New Roman" w:eastAsia="仿宋_GB2312" w:cs="Times New Roman"/>
          <w:sz w:val="32"/>
          <w:szCs w:val="32"/>
          <w:lang w:val="en-US" w:eastAsia="zh-CN"/>
        </w:rPr>
        <w:t>曝</w:t>
      </w:r>
      <w:r>
        <w:rPr>
          <w:rFonts w:hint="default" w:ascii="Times New Roman" w:hAnsi="Times New Roman" w:eastAsia="仿宋_GB2312" w:cs="Times New Roman"/>
          <w:sz w:val="32"/>
          <w:szCs w:val="32"/>
          <w:lang w:eastAsia="zh-CN"/>
        </w:rPr>
        <w:t>露在电磁场中的时间，制定安全操作规程，加强电磁水平监测</w:t>
      </w:r>
      <w:r>
        <w:rPr>
          <w:rFonts w:hint="default" w:ascii="Times New Roman" w:hAnsi="Times New Roman" w:eastAsia="仿宋_GB2312" w:cs="Times New Roman"/>
          <w:sz w:val="32"/>
          <w:szCs w:val="32"/>
          <w:lang w:val="en-US" w:eastAsia="zh-CN"/>
        </w:rPr>
        <w:t>。升压汇集站厂界和220千伏输电线路运行产生的工频电场强度、工频磁感应强度均</w:t>
      </w:r>
      <w:r>
        <w:rPr>
          <w:rFonts w:hint="eastAsia" w:eastAsia="仿宋_GB2312" w:cs="Times New Roman"/>
          <w:sz w:val="32"/>
          <w:szCs w:val="32"/>
          <w:lang w:val="en-US" w:eastAsia="zh-CN"/>
        </w:rPr>
        <w:t>执行</w:t>
      </w:r>
      <w:r>
        <w:rPr>
          <w:rFonts w:hint="default" w:ascii="Times New Roman" w:hAnsi="Times New Roman" w:eastAsia="仿宋_GB2312" w:cs="Times New Roman"/>
          <w:sz w:val="32"/>
          <w:szCs w:val="32"/>
          <w:lang w:val="en-US" w:eastAsia="zh-CN"/>
        </w:rPr>
        <w:t>《电磁环境控制限值》（GB8702-2014）要求。</w:t>
      </w:r>
    </w:p>
    <w:p w14:paraId="144CE8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三</w:t>
      </w:r>
      <w:r>
        <w:rPr>
          <w:rFonts w:hint="default" w:ascii="Times New Roman" w:hAnsi="Times New Roman" w:eastAsia="仿宋_GB2312" w:cs="Times New Roman"/>
          <w:sz w:val="32"/>
          <w:szCs w:val="32"/>
        </w:rPr>
        <w:t>）严格落实噪声污染防治措施。</w:t>
      </w:r>
      <w:r>
        <w:rPr>
          <w:rFonts w:hint="default" w:ascii="Times New Roman" w:hAnsi="Times New Roman" w:eastAsia="仿宋_GB2312" w:cs="Times New Roman"/>
          <w:sz w:val="32"/>
          <w:szCs w:val="32"/>
          <w:lang w:val="en-US" w:eastAsia="zh-CN"/>
        </w:rPr>
        <w:t>升压汇集站选用低噪声设备，主变基础采取减振措施；合理布局站内电气设备及配电装置，加强站内电气设备的日常维护；输电线路合理选择导线、杆塔、绝缘子、线路架设高度。升压汇集站厂界昼间和夜间噪声排放</w:t>
      </w:r>
      <w:r>
        <w:rPr>
          <w:rFonts w:hint="eastAsia" w:eastAsia="仿宋_GB2312" w:cs="Times New Roman"/>
          <w:sz w:val="32"/>
          <w:szCs w:val="32"/>
          <w:lang w:val="en-US" w:eastAsia="zh-CN"/>
        </w:rPr>
        <w:t>执行</w:t>
      </w:r>
      <w:r>
        <w:rPr>
          <w:rFonts w:hint="default" w:ascii="Times New Roman" w:hAnsi="Times New Roman" w:eastAsia="仿宋_GB2312" w:cs="Times New Roman"/>
          <w:sz w:val="32"/>
          <w:szCs w:val="32"/>
          <w:lang w:val="en-US" w:eastAsia="zh-CN"/>
        </w:rPr>
        <w:t>《工业企业厂界环境噪声排放标准》（GB12348-2008）中2类标准要求；输电线路昼间和夜间声环境</w:t>
      </w:r>
      <w:r>
        <w:rPr>
          <w:rFonts w:hint="eastAsia" w:eastAsia="仿宋_GB2312" w:cs="Times New Roman"/>
          <w:sz w:val="32"/>
          <w:szCs w:val="32"/>
          <w:lang w:val="en-US" w:eastAsia="zh-CN"/>
        </w:rPr>
        <w:t>执行</w:t>
      </w:r>
      <w:r>
        <w:rPr>
          <w:rFonts w:hint="default" w:ascii="Times New Roman" w:hAnsi="Times New Roman" w:eastAsia="仿宋_GB2312" w:cs="Times New Roman"/>
          <w:sz w:val="32"/>
          <w:szCs w:val="32"/>
          <w:lang w:val="en-US" w:eastAsia="zh-CN"/>
        </w:rPr>
        <w:t>《声环境质量标准》（GB3096-2008）中2类标准要求。</w:t>
      </w:r>
    </w:p>
    <w:p w14:paraId="2A7E72A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四</w:t>
      </w:r>
      <w:r>
        <w:rPr>
          <w:rFonts w:hint="default" w:ascii="Times New Roman" w:hAnsi="Times New Roman" w:eastAsia="仿宋_GB2312" w:cs="Times New Roman"/>
          <w:sz w:val="32"/>
          <w:szCs w:val="32"/>
        </w:rPr>
        <w:t>）严格落实固体废物分类处置和综合利用措施。</w:t>
      </w:r>
      <w:r>
        <w:rPr>
          <w:rFonts w:hint="default" w:ascii="Times New Roman" w:hAnsi="Times New Roman" w:eastAsia="仿宋_GB2312" w:cs="Times New Roman"/>
          <w:sz w:val="32"/>
          <w:szCs w:val="32"/>
          <w:lang w:val="en-US" w:eastAsia="zh-CN"/>
        </w:rPr>
        <w:t>废铅酸蓄电池、废机油、废机油桶</w:t>
      </w:r>
      <w:r>
        <w:rPr>
          <w:rFonts w:hint="eastAsia" w:eastAsia="仿宋_GB2312" w:cs="Times New Roman"/>
          <w:sz w:val="32"/>
          <w:szCs w:val="32"/>
          <w:lang w:val="en-US" w:eastAsia="zh-CN"/>
        </w:rPr>
        <w:t>、废变压器油属于危险废物，其中废铅酸蓄电池、废机油、废机油桶等危险废物分类分区贮存于危险废物贮存库内，委托有资质单位处置；废变压器油排入事故油池，并委托有资质的单位处置。</w:t>
      </w:r>
      <w:r>
        <w:rPr>
          <w:rFonts w:hint="eastAsia" w:ascii="Times New Roman" w:hAnsi="Times New Roman" w:eastAsia="仿宋_GB2312" w:cs="Times New Roman"/>
          <w:sz w:val="32"/>
          <w:szCs w:val="32"/>
          <w:lang w:val="en-US" w:eastAsia="zh-CN"/>
        </w:rPr>
        <w:t>一般固体废物中废磷酸铁锂电池更换前及时联系厂家回收，即产即运，不在站内贮存。危险废物收集、运输、储存须严格按照《危险废物贮存污染控制标准》（GB18597-2023）、《危险废物收集、贮存、运输技术规范》（HJ2025-2012）和《危险废物转移管理办法》等相关要求。</w:t>
      </w:r>
    </w:p>
    <w:p w14:paraId="484859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五</w:t>
      </w:r>
      <w:r>
        <w:rPr>
          <w:rFonts w:hint="default" w:ascii="Times New Roman" w:hAnsi="Times New Roman" w:eastAsia="仿宋_GB2312" w:cs="Times New Roman"/>
          <w:sz w:val="32"/>
          <w:szCs w:val="32"/>
        </w:rPr>
        <w:t>）严格落实</w:t>
      </w:r>
      <w:r>
        <w:rPr>
          <w:rFonts w:hint="default" w:ascii="Times New Roman" w:hAnsi="Times New Roman" w:eastAsia="仿宋_GB2312" w:cs="Times New Roman"/>
          <w:sz w:val="32"/>
          <w:szCs w:val="32"/>
          <w:lang w:val="en-US" w:eastAsia="zh-CN"/>
        </w:rPr>
        <w:t>地下水及</w:t>
      </w:r>
      <w:r>
        <w:rPr>
          <w:rFonts w:hint="default" w:ascii="Times New Roman" w:hAnsi="Times New Roman" w:eastAsia="仿宋_GB2312" w:cs="Times New Roman"/>
          <w:sz w:val="32"/>
          <w:szCs w:val="32"/>
        </w:rPr>
        <w:t>土壤污染防治措施。</w:t>
      </w:r>
      <w:r>
        <w:rPr>
          <w:rFonts w:hint="default" w:ascii="Times New Roman" w:hAnsi="Times New Roman" w:eastAsia="仿宋_GB2312" w:cs="Times New Roman"/>
          <w:sz w:val="32"/>
          <w:szCs w:val="32"/>
          <w:lang w:eastAsia="zh-CN"/>
        </w:rPr>
        <w:t>按照源头防控、分区防治、污染监控、应急响应的原则进行地下水污染防治。</w:t>
      </w:r>
      <w:r>
        <w:rPr>
          <w:rFonts w:hint="default" w:ascii="Times New Roman" w:hAnsi="Times New Roman" w:eastAsia="仿宋_GB2312" w:cs="Times New Roman"/>
          <w:sz w:val="32"/>
          <w:szCs w:val="32"/>
          <w:lang w:val="en-US" w:eastAsia="zh-CN"/>
        </w:rPr>
        <w:t>对升压汇集站生产区内的防渗贮油坑、事故油池和危险废物贮存库</w:t>
      </w:r>
      <w:r>
        <w:rPr>
          <w:rFonts w:hint="default" w:ascii="Times New Roman" w:hAnsi="Times New Roman" w:eastAsia="仿宋_GB2312" w:cs="Times New Roman"/>
          <w:sz w:val="32"/>
          <w:szCs w:val="32"/>
          <w:lang w:eastAsia="zh-CN"/>
        </w:rPr>
        <w:t>进行</w:t>
      </w:r>
      <w:r>
        <w:rPr>
          <w:rFonts w:hint="eastAsia" w:eastAsia="仿宋_GB2312" w:cs="Times New Roman"/>
          <w:sz w:val="32"/>
          <w:szCs w:val="32"/>
          <w:lang w:val="en-US" w:eastAsia="zh-CN"/>
        </w:rPr>
        <w:t>重点</w:t>
      </w:r>
      <w:r>
        <w:rPr>
          <w:rFonts w:hint="default" w:ascii="Times New Roman" w:hAnsi="Times New Roman" w:eastAsia="仿宋_GB2312" w:cs="Times New Roman"/>
          <w:sz w:val="32"/>
          <w:szCs w:val="32"/>
        </w:rPr>
        <w:t>防渗</w:t>
      </w:r>
      <w:r>
        <w:rPr>
          <w:rFonts w:hint="eastAsia" w:eastAsia="仿宋_GB2312" w:cs="Times New Roman"/>
          <w:sz w:val="32"/>
          <w:szCs w:val="32"/>
          <w:lang w:eastAsia="zh-CN"/>
        </w:rPr>
        <w:t>；</w:t>
      </w:r>
      <w:r>
        <w:rPr>
          <w:rFonts w:hint="eastAsia" w:eastAsia="仿宋_GB2312" w:cs="Times New Roman"/>
          <w:sz w:val="32"/>
          <w:szCs w:val="32"/>
          <w:lang w:val="en-US" w:eastAsia="zh-CN"/>
        </w:rPr>
        <w:t>对升压汇集站其他区域和储能区进行一般防渗。</w:t>
      </w:r>
      <w:r>
        <w:rPr>
          <w:rFonts w:hint="default" w:ascii="Times New Roman" w:hAnsi="Times New Roman" w:eastAsia="仿宋_GB2312" w:cs="Times New Roman"/>
          <w:sz w:val="32"/>
          <w:szCs w:val="32"/>
          <w:lang w:eastAsia="zh-CN"/>
        </w:rPr>
        <w:t>加强防渗设施的日常维护，对出现损坏的防渗设施应及时修复和加固，确保防渗设施牢固安全。</w:t>
      </w:r>
    </w:p>
    <w:p w14:paraId="7AA1C5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六</w:t>
      </w:r>
      <w:r>
        <w:rPr>
          <w:rFonts w:hint="default" w:ascii="Times New Roman" w:hAnsi="Times New Roman" w:eastAsia="仿宋_GB2312" w:cs="Times New Roman"/>
          <w:sz w:val="32"/>
          <w:szCs w:val="32"/>
        </w:rPr>
        <w:t>）强化各项环境风险防范措施，有效防范环境风险。定期开展环境风险应急培训和演练，落实各项应急环境管理措施以及各项风险防范措施，确保风险事故得到有效控制。</w:t>
      </w:r>
    </w:p>
    <w:p w14:paraId="09D236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lang w:eastAsia="zh-CN"/>
        </w:rPr>
        <w:t>（</w:t>
      </w:r>
      <w:r>
        <w:rPr>
          <w:rFonts w:hint="eastAsia" w:eastAsia="仿宋_GB2312" w:cs="Times New Roman"/>
          <w:bCs/>
          <w:sz w:val="32"/>
          <w:szCs w:val="32"/>
          <w:lang w:val="en-US" w:eastAsia="zh-CN"/>
        </w:rPr>
        <w:t>七</w:t>
      </w:r>
      <w:r>
        <w:rPr>
          <w:rFonts w:hint="default" w:ascii="Times New Roman" w:hAnsi="Times New Roman" w:eastAsia="仿宋_GB2312" w:cs="Times New Roman"/>
          <w:bCs/>
          <w:sz w:val="32"/>
          <w:szCs w:val="32"/>
          <w:lang w:eastAsia="zh-CN"/>
        </w:rPr>
        <w:t>）加强施工期环境保护，防止施工废水、扬尘、噪声污染、水土流失和生态破坏。</w:t>
      </w:r>
    </w:p>
    <w:p w14:paraId="592148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eastAsia" w:eastAsia="仿宋_GB2312" w:cs="Times New Roman"/>
          <w:bCs/>
          <w:sz w:val="32"/>
          <w:szCs w:val="32"/>
          <w:lang w:eastAsia="zh-CN"/>
        </w:rPr>
        <w:t>（</w:t>
      </w:r>
      <w:r>
        <w:rPr>
          <w:rFonts w:hint="eastAsia" w:eastAsia="仿宋_GB2312" w:cs="Times New Roman"/>
          <w:bCs/>
          <w:sz w:val="32"/>
          <w:szCs w:val="32"/>
          <w:lang w:val="en-US" w:eastAsia="zh-CN"/>
        </w:rPr>
        <w:t>八</w:t>
      </w:r>
      <w:r>
        <w:rPr>
          <w:rFonts w:hint="eastAsia" w:eastAsia="仿宋_GB2312" w:cs="Times New Roman"/>
          <w:bCs/>
          <w:sz w:val="32"/>
          <w:szCs w:val="32"/>
          <w:lang w:eastAsia="zh-CN"/>
        </w:rPr>
        <w:t>）</w:t>
      </w:r>
      <w:r>
        <w:rPr>
          <w:rFonts w:hint="default" w:ascii="Times New Roman" w:hAnsi="Times New Roman" w:eastAsia="仿宋_GB2312" w:cs="Times New Roman"/>
          <w:bCs/>
          <w:sz w:val="32"/>
          <w:szCs w:val="32"/>
        </w:rPr>
        <w:t>在工程运营过程中，应建立畅通的公众参与平台，加强宣传与沟通工作，及时解决公众提出的合理环境诉求。定期发布企业环境信息，并主动接受社会监督。</w:t>
      </w:r>
    </w:p>
    <w:p w14:paraId="2791F1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四、项目建设必须严格执行配套的环境保护设施与主体工程同时设计、同时施工、同时投产使用的环境保护“三同时”制度。施工招标文件和施工合同招标文件中应明确环保条款和责任，项目竣工后，须按规定程序实施竣工环境保护验收。</w:t>
      </w:r>
    </w:p>
    <w:p w14:paraId="031299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五、环境影响</w:t>
      </w:r>
      <w:r>
        <w:rPr>
          <w:rFonts w:hint="eastAsia" w:eastAsia="仿宋_GB2312" w:cs="Times New Roman"/>
          <w:bCs/>
          <w:sz w:val="32"/>
          <w:szCs w:val="32"/>
          <w:lang w:eastAsia="zh-CN"/>
        </w:rPr>
        <w:t>报告</w:t>
      </w:r>
      <w:r>
        <w:rPr>
          <w:rFonts w:hint="eastAsia" w:eastAsia="仿宋_GB2312" w:cs="Times New Roman"/>
          <w:bCs/>
          <w:sz w:val="32"/>
          <w:szCs w:val="32"/>
          <w:lang w:val="en-US" w:eastAsia="zh-CN"/>
        </w:rPr>
        <w:t>表</w:t>
      </w:r>
      <w:r>
        <w:rPr>
          <w:rFonts w:hint="default" w:ascii="Times New Roman" w:hAnsi="Times New Roman" w:eastAsia="仿宋_GB2312" w:cs="Times New Roman"/>
          <w:bCs/>
          <w:sz w:val="32"/>
          <w:szCs w:val="32"/>
        </w:rPr>
        <w:t>经批准后，该项目的性质、规模、地点、生产工艺和环境保护措施发生重大变动，且可能导致环境影响显著变化</w:t>
      </w:r>
      <w:r>
        <w:rPr>
          <w:rFonts w:hint="eastAsia" w:eastAsia="仿宋_GB2312" w:cs="Times New Roman"/>
          <w:bCs/>
          <w:sz w:val="32"/>
          <w:szCs w:val="32"/>
          <w:lang w:eastAsia="zh-CN"/>
        </w:rPr>
        <w:t>（</w:t>
      </w:r>
      <w:r>
        <w:rPr>
          <w:rFonts w:hint="default" w:ascii="Times New Roman" w:hAnsi="Times New Roman" w:eastAsia="仿宋_GB2312" w:cs="Times New Roman"/>
          <w:bCs/>
          <w:sz w:val="32"/>
          <w:szCs w:val="32"/>
        </w:rPr>
        <w:t>特别是不利环境影响加重</w:t>
      </w:r>
      <w:r>
        <w:rPr>
          <w:rFonts w:hint="eastAsia" w:eastAsia="仿宋_GB2312" w:cs="Times New Roman"/>
          <w:bCs/>
          <w:sz w:val="32"/>
          <w:szCs w:val="32"/>
          <w:lang w:eastAsia="zh-CN"/>
        </w:rPr>
        <w:t>）</w:t>
      </w:r>
      <w:r>
        <w:rPr>
          <w:rFonts w:hint="default" w:ascii="Times New Roman" w:hAnsi="Times New Roman" w:eastAsia="仿宋_GB2312" w:cs="Times New Roman"/>
          <w:bCs/>
          <w:sz w:val="32"/>
          <w:szCs w:val="32"/>
        </w:rPr>
        <w:t>的，应当重新报批该项目环境影响评价报告。</w:t>
      </w:r>
    </w:p>
    <w:p w14:paraId="1E5ED3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eastAsia" w:eastAsia="仿宋_GB2312" w:cs="Times New Roman"/>
          <w:bCs/>
          <w:sz w:val="32"/>
          <w:szCs w:val="32"/>
          <w:lang w:val="en-US" w:eastAsia="zh-CN"/>
        </w:rPr>
        <w:t>六</w:t>
      </w:r>
      <w:r>
        <w:rPr>
          <w:rFonts w:hint="default" w:ascii="Times New Roman" w:hAnsi="Times New Roman" w:eastAsia="仿宋_GB2312" w:cs="Times New Roman"/>
          <w:bCs/>
          <w:sz w:val="32"/>
          <w:szCs w:val="32"/>
        </w:rPr>
        <w:t>、</w:t>
      </w:r>
      <w:r>
        <w:rPr>
          <w:rFonts w:hint="eastAsia" w:eastAsia="仿宋_GB2312" w:cs="Times New Roman"/>
          <w:bCs/>
          <w:sz w:val="32"/>
          <w:szCs w:val="32"/>
          <w:lang w:val="en-US" w:eastAsia="zh-CN"/>
        </w:rPr>
        <w:t>天北</w:t>
      </w:r>
      <w:r>
        <w:rPr>
          <w:rFonts w:hint="default" w:ascii="Times New Roman" w:hAnsi="Times New Roman" w:eastAsia="仿宋_GB2312" w:cs="Times New Roman"/>
          <w:bCs/>
          <w:sz w:val="32"/>
          <w:szCs w:val="32"/>
        </w:rPr>
        <w:t>经济技术开发区应急管理和环境保护局要切实承担事中事后监管主要责任，履行属地监管职责，按照《关于进一步完善建设项目环境保护“三同时”及竣工环境保护自主验收监管工作机制的意见》（环执法〔2021〕70号）要求，加强对该项目环境保护“三同时”及自主验收监管。</w:t>
      </w:r>
    </w:p>
    <w:p w14:paraId="280AE4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eastAsia" w:eastAsia="仿宋_GB2312" w:cs="Times New Roman"/>
          <w:bCs/>
          <w:sz w:val="32"/>
          <w:szCs w:val="32"/>
          <w:lang w:val="en-US" w:eastAsia="zh-CN"/>
        </w:rPr>
        <w:t>七</w:t>
      </w:r>
      <w:r>
        <w:rPr>
          <w:rFonts w:hint="default" w:ascii="Times New Roman" w:hAnsi="Times New Roman" w:eastAsia="仿宋_GB2312" w:cs="Times New Roman"/>
          <w:bCs/>
          <w:sz w:val="32"/>
          <w:szCs w:val="32"/>
        </w:rPr>
        <w:t>、我局委托师市生态环境保护综合行政执法支队负责该项目的事中事后监管，生态环境监测站按职责开展相关监管工作，我局负责对“三同时”及自主验收监管工作的监督指导。你单位应在接到本批复后20个工作日内，将批准后的环境影响</w:t>
      </w:r>
      <w:r>
        <w:rPr>
          <w:rFonts w:hint="eastAsia" w:eastAsia="仿宋_GB2312" w:cs="Times New Roman"/>
          <w:bCs/>
          <w:sz w:val="32"/>
          <w:szCs w:val="32"/>
          <w:lang w:eastAsia="zh-CN"/>
        </w:rPr>
        <w:t>报告</w:t>
      </w:r>
      <w:r>
        <w:rPr>
          <w:rFonts w:hint="eastAsia" w:eastAsia="仿宋_GB2312" w:cs="Times New Roman"/>
          <w:bCs/>
          <w:sz w:val="32"/>
          <w:szCs w:val="32"/>
          <w:lang w:val="en-US" w:eastAsia="zh-CN"/>
        </w:rPr>
        <w:t>表</w:t>
      </w:r>
      <w:r>
        <w:rPr>
          <w:rFonts w:hint="default" w:ascii="Times New Roman" w:hAnsi="Times New Roman" w:eastAsia="仿宋_GB2312" w:cs="Times New Roman"/>
          <w:bCs/>
          <w:sz w:val="32"/>
          <w:szCs w:val="32"/>
        </w:rPr>
        <w:t>送</w:t>
      </w:r>
      <w:r>
        <w:rPr>
          <w:rFonts w:hint="eastAsia" w:ascii="Times New Roman" w:hAnsi="Times New Roman" w:eastAsia="仿宋_GB2312" w:cs="Times New Roman"/>
          <w:bCs/>
          <w:sz w:val="32"/>
          <w:szCs w:val="32"/>
        </w:rPr>
        <w:t>塔城地区生态环境局乌苏市分局</w:t>
      </w:r>
      <w:r>
        <w:rPr>
          <w:rFonts w:hint="eastAsia"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师</w:t>
      </w:r>
      <w:r>
        <w:rPr>
          <w:rFonts w:hint="default" w:ascii="Times New Roman" w:hAnsi="Times New Roman" w:eastAsia="仿宋_GB2312" w:cs="Times New Roman"/>
          <w:bCs/>
          <w:sz w:val="32"/>
          <w:szCs w:val="32"/>
        </w:rPr>
        <w:t>市生态环境保护综合行政执法支队、生态环境监测站、</w:t>
      </w:r>
      <w:r>
        <w:rPr>
          <w:rFonts w:hint="eastAsia" w:eastAsia="仿宋_GB2312" w:cs="Times New Roman"/>
          <w:bCs/>
          <w:sz w:val="32"/>
          <w:szCs w:val="32"/>
          <w:lang w:val="en-US" w:eastAsia="zh-CN"/>
        </w:rPr>
        <w:t>天北</w:t>
      </w:r>
      <w:r>
        <w:rPr>
          <w:rFonts w:hint="default" w:ascii="Times New Roman" w:hAnsi="Times New Roman" w:eastAsia="仿宋_GB2312" w:cs="Times New Roman"/>
          <w:bCs/>
          <w:sz w:val="32"/>
          <w:szCs w:val="32"/>
        </w:rPr>
        <w:t>经济技术开发区应急管理和环境保护局，并按规定接受各级生态环境主管部门的监督检查。</w:t>
      </w:r>
    </w:p>
    <w:p w14:paraId="7AC05405">
      <w:pPr>
        <w:keepNext w:val="0"/>
        <w:keepLines w:val="0"/>
        <w:pageBreakBefore w:val="0"/>
        <w:widowControl w:val="0"/>
        <w:kinsoku/>
        <w:wordWrap/>
        <w:overflowPunct/>
        <w:topLinePunct w:val="0"/>
        <w:autoSpaceDE/>
        <w:autoSpaceDN/>
        <w:bidi w:val="0"/>
        <w:adjustRightInd/>
        <w:snapToGrid/>
        <w:spacing w:line="740" w:lineRule="exact"/>
        <w:ind w:firstLine="4480" w:firstLineChars="1400"/>
        <w:textAlignment w:val="auto"/>
        <w:rPr>
          <w:rFonts w:hint="default" w:ascii="Times New Roman" w:hAnsi="Times New Roman" w:eastAsia="仿宋_GB2312" w:cs="Times New Roman"/>
          <w:bCs/>
          <w:sz w:val="32"/>
          <w:szCs w:val="32"/>
        </w:rPr>
      </w:pPr>
    </w:p>
    <w:p w14:paraId="03B99F5F">
      <w:pPr>
        <w:keepNext w:val="0"/>
        <w:keepLines w:val="0"/>
        <w:pageBreakBefore w:val="0"/>
        <w:widowControl w:val="0"/>
        <w:kinsoku/>
        <w:wordWrap/>
        <w:overflowPunct/>
        <w:topLinePunct w:val="0"/>
        <w:autoSpaceDE/>
        <w:autoSpaceDN/>
        <w:bidi w:val="0"/>
        <w:adjustRightInd/>
        <w:snapToGrid/>
        <w:spacing w:line="740" w:lineRule="exact"/>
        <w:ind w:firstLine="4480" w:firstLineChars="1400"/>
        <w:textAlignment w:val="auto"/>
        <w:rPr>
          <w:rFonts w:hint="default" w:ascii="Times New Roman" w:hAnsi="Times New Roman" w:eastAsia="仿宋_GB2312" w:cs="Times New Roman"/>
          <w:bCs/>
          <w:sz w:val="32"/>
          <w:szCs w:val="32"/>
        </w:rPr>
      </w:pPr>
    </w:p>
    <w:p w14:paraId="35EA146C">
      <w:pPr>
        <w:spacing w:line="440" w:lineRule="exact"/>
        <w:ind w:firstLine="4800" w:firstLineChars="15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第七师胡杨河市生态环境局</w:t>
      </w:r>
    </w:p>
    <w:p w14:paraId="11AF33CE">
      <w:pPr>
        <w:spacing w:line="440" w:lineRule="exact"/>
        <w:ind w:firstLine="5440" w:firstLineChars="1700"/>
        <w:rPr>
          <w:rFonts w:hint="eastAsia"/>
        </w:rPr>
      </w:pPr>
      <w:r>
        <w:rPr>
          <w:rFonts w:hint="default" w:ascii="Times New Roman" w:hAnsi="Times New Roman" w:eastAsia="仿宋_GB2312" w:cs="Times New Roman"/>
          <w:bCs/>
          <w:sz w:val="32"/>
          <w:szCs w:val="32"/>
        </w:rPr>
        <w:t>202</w:t>
      </w:r>
      <w:r>
        <w:rPr>
          <w:rFonts w:hint="eastAsia" w:eastAsia="仿宋_GB2312" w:cs="Times New Roman"/>
          <w:bCs/>
          <w:sz w:val="32"/>
          <w:szCs w:val="32"/>
          <w:lang w:val="en-US" w:eastAsia="zh-CN"/>
        </w:rPr>
        <w:t>5</w:t>
      </w:r>
      <w:r>
        <w:rPr>
          <w:rFonts w:hint="default" w:ascii="Times New Roman" w:hAnsi="Times New Roman" w:eastAsia="仿宋_GB2312" w:cs="Times New Roman"/>
          <w:bCs/>
          <w:sz w:val="32"/>
          <w:szCs w:val="32"/>
        </w:rPr>
        <w:t>年</w:t>
      </w:r>
      <w:r>
        <w:rPr>
          <w:rFonts w:hint="eastAsia" w:eastAsia="仿宋_GB2312" w:cs="Times New Roman"/>
          <w:bCs/>
          <w:sz w:val="32"/>
          <w:szCs w:val="32"/>
          <w:lang w:val="en-US" w:eastAsia="zh-CN"/>
        </w:rPr>
        <w:t>12</w:t>
      </w:r>
      <w:r>
        <w:rPr>
          <w:rFonts w:hint="default" w:ascii="Times New Roman" w:hAnsi="Times New Roman" w:eastAsia="仿宋_GB2312" w:cs="Times New Roman"/>
          <w:bCs/>
          <w:sz w:val="32"/>
          <w:szCs w:val="32"/>
        </w:rPr>
        <w:t>月</w:t>
      </w:r>
      <w:r>
        <w:rPr>
          <w:rFonts w:hint="eastAsia" w:eastAsia="仿宋_GB2312" w:cs="Times New Roman"/>
          <w:bCs/>
          <w:sz w:val="32"/>
          <w:szCs w:val="32"/>
          <w:lang w:val="en-US" w:eastAsia="zh-CN"/>
        </w:rPr>
        <w:t>15</w:t>
      </w:r>
      <w:r>
        <w:rPr>
          <w:rFonts w:hint="default" w:ascii="Times New Roman" w:hAnsi="Times New Roman" w:eastAsia="仿宋_GB2312" w:cs="Times New Roman"/>
          <w:bCs/>
          <w:sz w:val="32"/>
          <w:szCs w:val="32"/>
        </w:rPr>
        <w:t>日</w:t>
      </w:r>
    </w:p>
    <w:p w14:paraId="557A7685">
      <w:pPr>
        <w:rPr>
          <w:rFonts w:hint="eastAsia"/>
        </w:rPr>
      </w:pPr>
    </w:p>
    <w:p w14:paraId="2407869A">
      <w:pPr>
        <w:keepNext w:val="0"/>
        <w:keepLines w:val="0"/>
        <w:pageBreakBefore w:val="0"/>
        <w:widowControl w:val="0"/>
        <w:kinsoku/>
        <w:wordWrap/>
        <w:overflowPunct/>
        <w:topLinePunct w:val="0"/>
        <w:autoSpaceDE/>
        <w:autoSpaceDN/>
        <w:bidi w:val="0"/>
        <w:adjustRightInd/>
        <w:snapToGrid/>
        <w:spacing w:line="440" w:lineRule="exact"/>
        <w:ind w:left="0" w:right="210" w:rightChars="100" w:hanging="840" w:hangingChars="300"/>
        <w:textAlignment w:val="auto"/>
        <w:rPr>
          <w:rFonts w:hint="default" w:ascii="Times New Roman" w:hAnsi="Times New Roman" w:eastAsia="仿宋_GB2312" w:cs="Times New Roman"/>
          <w:sz w:val="28"/>
          <w:szCs w:val="28"/>
        </w:rPr>
      </w:pPr>
    </w:p>
    <w:p w14:paraId="3867767E">
      <w:pPr>
        <w:keepNext w:val="0"/>
        <w:keepLines w:val="0"/>
        <w:pageBreakBefore w:val="0"/>
        <w:widowControl w:val="0"/>
        <w:kinsoku/>
        <w:wordWrap/>
        <w:overflowPunct/>
        <w:topLinePunct w:val="0"/>
        <w:autoSpaceDE/>
        <w:autoSpaceDN/>
        <w:bidi w:val="0"/>
        <w:adjustRightInd/>
        <w:snapToGrid/>
        <w:spacing w:line="440" w:lineRule="exact"/>
        <w:ind w:left="0" w:right="210" w:rightChars="100" w:hanging="840" w:hangingChars="300"/>
        <w:textAlignment w:val="auto"/>
        <w:rPr>
          <w:rFonts w:hint="default" w:ascii="Times New Roman" w:hAnsi="Times New Roman" w:eastAsia="仿宋_GB2312" w:cs="Times New Roman"/>
          <w:sz w:val="28"/>
          <w:szCs w:val="28"/>
        </w:rPr>
      </w:pPr>
    </w:p>
    <w:p w14:paraId="3E1CDDDB">
      <w:pPr>
        <w:keepNext w:val="0"/>
        <w:keepLines w:val="0"/>
        <w:pageBreakBefore w:val="0"/>
        <w:widowControl w:val="0"/>
        <w:kinsoku/>
        <w:wordWrap/>
        <w:overflowPunct/>
        <w:topLinePunct w:val="0"/>
        <w:autoSpaceDE/>
        <w:autoSpaceDN/>
        <w:bidi w:val="0"/>
        <w:adjustRightInd/>
        <w:snapToGrid/>
        <w:spacing w:line="440" w:lineRule="exact"/>
        <w:ind w:left="0" w:right="210" w:rightChars="100" w:hanging="840" w:hangingChars="300"/>
        <w:textAlignment w:val="auto"/>
        <w:rPr>
          <w:rFonts w:hint="default" w:ascii="Times New Roman" w:hAnsi="Times New Roman" w:eastAsia="仿宋_GB2312" w:cs="Times New Roman"/>
          <w:sz w:val="28"/>
          <w:szCs w:val="28"/>
        </w:rPr>
      </w:pPr>
    </w:p>
    <w:p w14:paraId="657DE024">
      <w:pPr>
        <w:keepNext w:val="0"/>
        <w:keepLines w:val="0"/>
        <w:pageBreakBefore w:val="0"/>
        <w:widowControl w:val="0"/>
        <w:kinsoku/>
        <w:wordWrap/>
        <w:overflowPunct/>
        <w:topLinePunct w:val="0"/>
        <w:autoSpaceDE/>
        <w:autoSpaceDN/>
        <w:bidi w:val="0"/>
        <w:adjustRightInd/>
        <w:snapToGrid/>
        <w:spacing w:line="440" w:lineRule="exact"/>
        <w:ind w:left="0" w:right="210" w:rightChars="100" w:hanging="840" w:hangingChars="300"/>
        <w:textAlignment w:val="auto"/>
        <w:rPr>
          <w:rFonts w:hint="default" w:ascii="Times New Roman" w:hAnsi="Times New Roman" w:eastAsia="仿宋_GB2312" w:cs="Times New Roman"/>
          <w:sz w:val="28"/>
          <w:szCs w:val="28"/>
        </w:rPr>
      </w:pPr>
    </w:p>
    <w:p w14:paraId="2C942988">
      <w:pPr>
        <w:keepNext w:val="0"/>
        <w:keepLines w:val="0"/>
        <w:pageBreakBefore w:val="0"/>
        <w:widowControl w:val="0"/>
        <w:kinsoku/>
        <w:wordWrap/>
        <w:overflowPunct/>
        <w:topLinePunct w:val="0"/>
        <w:autoSpaceDE/>
        <w:autoSpaceDN/>
        <w:bidi w:val="0"/>
        <w:adjustRightInd/>
        <w:snapToGrid/>
        <w:spacing w:line="440" w:lineRule="exact"/>
        <w:ind w:left="0" w:right="210" w:rightChars="100" w:hanging="840" w:hangingChars="300"/>
        <w:textAlignment w:val="auto"/>
        <w:rPr>
          <w:rFonts w:hint="default" w:ascii="Times New Roman" w:hAnsi="Times New Roman" w:eastAsia="仿宋_GB2312" w:cs="Times New Roman"/>
          <w:sz w:val="28"/>
          <w:szCs w:val="28"/>
        </w:rPr>
      </w:pPr>
    </w:p>
    <w:p w14:paraId="67E1F1A2">
      <w:pPr>
        <w:keepNext w:val="0"/>
        <w:keepLines w:val="0"/>
        <w:pageBreakBefore w:val="0"/>
        <w:widowControl w:val="0"/>
        <w:kinsoku/>
        <w:wordWrap/>
        <w:overflowPunct/>
        <w:topLinePunct w:val="0"/>
        <w:autoSpaceDE/>
        <w:autoSpaceDN/>
        <w:bidi w:val="0"/>
        <w:adjustRightInd/>
        <w:snapToGrid/>
        <w:spacing w:line="440" w:lineRule="exact"/>
        <w:ind w:left="0" w:right="210" w:rightChars="100" w:hanging="840" w:hangingChars="300"/>
        <w:textAlignment w:val="auto"/>
        <w:rPr>
          <w:rFonts w:hint="default" w:ascii="Times New Roman" w:hAnsi="Times New Roman" w:eastAsia="仿宋_GB2312" w:cs="Times New Roman"/>
          <w:sz w:val="28"/>
          <w:szCs w:val="28"/>
        </w:rPr>
      </w:pPr>
    </w:p>
    <w:p w14:paraId="1C1B3454">
      <w:pPr>
        <w:keepNext w:val="0"/>
        <w:keepLines w:val="0"/>
        <w:pageBreakBefore w:val="0"/>
        <w:widowControl w:val="0"/>
        <w:kinsoku/>
        <w:wordWrap/>
        <w:overflowPunct/>
        <w:topLinePunct w:val="0"/>
        <w:autoSpaceDE/>
        <w:autoSpaceDN/>
        <w:bidi w:val="0"/>
        <w:adjustRightInd/>
        <w:snapToGrid/>
        <w:spacing w:line="440" w:lineRule="exact"/>
        <w:ind w:left="0" w:right="210" w:rightChars="100" w:hanging="840" w:hangingChars="300"/>
        <w:textAlignment w:val="auto"/>
        <w:rPr>
          <w:rFonts w:hint="default" w:ascii="Times New Roman" w:hAnsi="Times New Roman" w:eastAsia="仿宋_GB2312" w:cs="Times New Roman"/>
          <w:sz w:val="28"/>
          <w:szCs w:val="28"/>
        </w:rPr>
      </w:pPr>
    </w:p>
    <w:p w14:paraId="407639B2">
      <w:pPr>
        <w:keepNext w:val="0"/>
        <w:keepLines w:val="0"/>
        <w:pageBreakBefore w:val="0"/>
        <w:widowControl w:val="0"/>
        <w:kinsoku/>
        <w:wordWrap/>
        <w:overflowPunct/>
        <w:topLinePunct w:val="0"/>
        <w:autoSpaceDE/>
        <w:autoSpaceDN/>
        <w:bidi w:val="0"/>
        <w:adjustRightInd/>
        <w:snapToGrid/>
        <w:spacing w:line="440" w:lineRule="exact"/>
        <w:ind w:left="0" w:right="210" w:rightChars="100" w:hanging="840" w:hangingChars="300"/>
        <w:textAlignment w:val="auto"/>
        <w:rPr>
          <w:rFonts w:hint="default" w:ascii="Times New Roman" w:hAnsi="Times New Roman" w:eastAsia="仿宋_GB2312" w:cs="Times New Roman"/>
          <w:sz w:val="28"/>
          <w:szCs w:val="28"/>
        </w:rPr>
      </w:pPr>
    </w:p>
    <w:p w14:paraId="1AC04DC0">
      <w:pPr>
        <w:keepNext w:val="0"/>
        <w:keepLines w:val="0"/>
        <w:pageBreakBefore w:val="0"/>
        <w:widowControl w:val="0"/>
        <w:kinsoku/>
        <w:wordWrap/>
        <w:overflowPunct/>
        <w:topLinePunct w:val="0"/>
        <w:autoSpaceDE/>
        <w:autoSpaceDN/>
        <w:bidi w:val="0"/>
        <w:adjustRightInd/>
        <w:snapToGrid/>
        <w:spacing w:line="440" w:lineRule="exact"/>
        <w:ind w:left="0" w:right="210" w:rightChars="100" w:hanging="840" w:hangingChars="300"/>
        <w:textAlignment w:val="auto"/>
        <w:rPr>
          <w:rFonts w:hint="default" w:ascii="Times New Roman" w:hAnsi="Times New Roman" w:eastAsia="仿宋_GB2312" w:cs="Times New Roman"/>
          <w:sz w:val="28"/>
          <w:szCs w:val="28"/>
        </w:rPr>
      </w:pPr>
    </w:p>
    <w:p w14:paraId="5DF7377B">
      <w:pPr>
        <w:keepNext w:val="0"/>
        <w:keepLines w:val="0"/>
        <w:pageBreakBefore w:val="0"/>
        <w:widowControl w:val="0"/>
        <w:kinsoku/>
        <w:wordWrap/>
        <w:overflowPunct/>
        <w:topLinePunct w:val="0"/>
        <w:autoSpaceDE/>
        <w:autoSpaceDN/>
        <w:bidi w:val="0"/>
        <w:adjustRightInd/>
        <w:snapToGrid/>
        <w:spacing w:line="440" w:lineRule="exact"/>
        <w:ind w:left="0" w:right="210" w:rightChars="100" w:hanging="840" w:hangingChars="300"/>
        <w:textAlignment w:val="auto"/>
        <w:rPr>
          <w:rFonts w:hint="default" w:ascii="Times New Roman" w:hAnsi="Times New Roman" w:eastAsia="仿宋_GB2312" w:cs="Times New Roman"/>
          <w:sz w:val="28"/>
          <w:szCs w:val="28"/>
        </w:rPr>
      </w:pPr>
    </w:p>
    <w:p w14:paraId="783B6EDC">
      <w:pPr>
        <w:keepNext w:val="0"/>
        <w:keepLines w:val="0"/>
        <w:pageBreakBefore w:val="0"/>
        <w:widowControl w:val="0"/>
        <w:kinsoku/>
        <w:wordWrap/>
        <w:overflowPunct/>
        <w:topLinePunct w:val="0"/>
        <w:autoSpaceDE/>
        <w:autoSpaceDN/>
        <w:bidi w:val="0"/>
        <w:adjustRightInd/>
        <w:snapToGrid/>
        <w:spacing w:line="440" w:lineRule="exact"/>
        <w:ind w:left="0" w:right="210" w:rightChars="100" w:hanging="840" w:hangingChars="300"/>
        <w:textAlignment w:val="auto"/>
        <w:rPr>
          <w:rFonts w:hint="default" w:ascii="Times New Roman" w:hAnsi="Times New Roman" w:eastAsia="仿宋_GB2312" w:cs="Times New Roman"/>
          <w:sz w:val="28"/>
          <w:szCs w:val="28"/>
        </w:rPr>
      </w:pPr>
    </w:p>
    <w:p w14:paraId="5892A155">
      <w:pPr>
        <w:keepNext w:val="0"/>
        <w:keepLines w:val="0"/>
        <w:pageBreakBefore w:val="0"/>
        <w:widowControl w:val="0"/>
        <w:kinsoku/>
        <w:wordWrap/>
        <w:overflowPunct/>
        <w:topLinePunct w:val="0"/>
        <w:autoSpaceDE/>
        <w:autoSpaceDN/>
        <w:bidi w:val="0"/>
        <w:adjustRightInd/>
        <w:snapToGrid/>
        <w:spacing w:line="440" w:lineRule="exact"/>
        <w:ind w:left="0" w:right="210" w:rightChars="100" w:hanging="840" w:hangingChars="300"/>
        <w:textAlignment w:val="auto"/>
        <w:rPr>
          <w:rFonts w:hint="default" w:ascii="Times New Roman" w:hAnsi="Times New Roman" w:eastAsia="仿宋_GB2312" w:cs="Times New Roman"/>
          <w:sz w:val="28"/>
          <w:szCs w:val="28"/>
        </w:rPr>
      </w:pPr>
    </w:p>
    <w:p w14:paraId="22E96849">
      <w:pPr>
        <w:keepNext w:val="0"/>
        <w:keepLines w:val="0"/>
        <w:pageBreakBefore w:val="0"/>
        <w:widowControl w:val="0"/>
        <w:kinsoku/>
        <w:wordWrap/>
        <w:overflowPunct/>
        <w:topLinePunct w:val="0"/>
        <w:autoSpaceDE/>
        <w:autoSpaceDN/>
        <w:bidi w:val="0"/>
        <w:adjustRightInd/>
        <w:snapToGrid/>
        <w:spacing w:line="440" w:lineRule="exact"/>
        <w:ind w:left="0" w:right="210" w:rightChars="100" w:hanging="840" w:hangingChars="300"/>
        <w:textAlignment w:val="auto"/>
        <w:rPr>
          <w:rFonts w:hint="default" w:ascii="Times New Roman" w:hAnsi="Times New Roman" w:eastAsia="仿宋_GB2312" w:cs="Times New Roman"/>
          <w:sz w:val="28"/>
          <w:szCs w:val="28"/>
        </w:rPr>
      </w:pPr>
    </w:p>
    <w:p w14:paraId="7279C42F">
      <w:pPr>
        <w:keepNext w:val="0"/>
        <w:keepLines w:val="0"/>
        <w:pageBreakBefore w:val="0"/>
        <w:widowControl w:val="0"/>
        <w:kinsoku/>
        <w:wordWrap/>
        <w:overflowPunct/>
        <w:topLinePunct w:val="0"/>
        <w:autoSpaceDE/>
        <w:autoSpaceDN/>
        <w:bidi w:val="0"/>
        <w:adjustRightInd/>
        <w:snapToGrid/>
        <w:spacing w:line="440" w:lineRule="exact"/>
        <w:ind w:left="0" w:right="210" w:rightChars="100" w:hanging="840" w:hangingChars="300"/>
        <w:textAlignment w:val="auto"/>
        <w:rPr>
          <w:rFonts w:hint="default" w:ascii="Times New Roman" w:hAnsi="Times New Roman" w:eastAsia="仿宋_GB2312" w:cs="Times New Roman"/>
          <w:sz w:val="28"/>
          <w:szCs w:val="28"/>
        </w:rPr>
      </w:pPr>
    </w:p>
    <w:p w14:paraId="7E95EAC9">
      <w:pPr>
        <w:keepNext w:val="0"/>
        <w:keepLines w:val="0"/>
        <w:pageBreakBefore w:val="0"/>
        <w:widowControl w:val="0"/>
        <w:kinsoku/>
        <w:wordWrap/>
        <w:overflowPunct/>
        <w:topLinePunct w:val="0"/>
        <w:autoSpaceDE/>
        <w:autoSpaceDN/>
        <w:bidi w:val="0"/>
        <w:adjustRightInd/>
        <w:snapToGrid/>
        <w:spacing w:line="440" w:lineRule="exact"/>
        <w:ind w:left="0" w:right="210" w:rightChars="100" w:hanging="840" w:hangingChars="300"/>
        <w:textAlignment w:val="auto"/>
        <w:rPr>
          <w:rFonts w:hint="default" w:ascii="Times New Roman" w:hAnsi="Times New Roman" w:eastAsia="仿宋_GB2312" w:cs="Times New Roman"/>
          <w:sz w:val="28"/>
          <w:szCs w:val="28"/>
        </w:rPr>
      </w:pPr>
    </w:p>
    <w:p w14:paraId="66973D04">
      <w:pPr>
        <w:keepNext w:val="0"/>
        <w:keepLines w:val="0"/>
        <w:pageBreakBefore w:val="0"/>
        <w:widowControl w:val="0"/>
        <w:kinsoku/>
        <w:wordWrap/>
        <w:overflowPunct/>
        <w:topLinePunct w:val="0"/>
        <w:autoSpaceDE/>
        <w:autoSpaceDN/>
        <w:bidi w:val="0"/>
        <w:adjustRightInd/>
        <w:snapToGrid/>
        <w:spacing w:line="560" w:lineRule="exact"/>
        <w:ind w:left="0" w:right="210" w:rightChars="100" w:hanging="840" w:hangingChars="300"/>
        <w:textAlignment w:val="auto"/>
        <w:rPr>
          <w:rFonts w:hint="default" w:ascii="Times New Roman" w:hAnsi="Times New Roman" w:eastAsia="仿宋_GB2312" w:cs="Times New Roman"/>
          <w:sz w:val="28"/>
          <w:szCs w:val="28"/>
        </w:rPr>
      </w:pPr>
    </w:p>
    <w:p w14:paraId="612F3D4C">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8"/>
          <w:szCs w:val="28"/>
        </w:rPr>
      </w:pPr>
    </w:p>
    <w:p w14:paraId="4E37992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8"/>
          <w:szCs w:val="28"/>
        </w:rPr>
      </w:pPr>
    </w:p>
    <w:p w14:paraId="6A8A044D">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8"/>
          <w:szCs w:val="28"/>
        </w:rPr>
      </w:pPr>
    </w:p>
    <w:p w14:paraId="3D241C1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8"/>
          <w:szCs w:val="28"/>
        </w:rPr>
      </w:pPr>
    </w:p>
    <w:p w14:paraId="6276ECC4">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8"/>
          <w:szCs w:val="28"/>
        </w:rPr>
      </w:pPr>
    </w:p>
    <w:p w14:paraId="0769DD2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8"/>
          <w:szCs w:val="28"/>
        </w:rPr>
      </w:pPr>
    </w:p>
    <w:p w14:paraId="338BA942">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8"/>
          <w:szCs w:val="28"/>
        </w:rPr>
      </w:pPr>
    </w:p>
    <w:p w14:paraId="63D49C3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8"/>
          <w:szCs w:val="28"/>
        </w:rPr>
      </w:pPr>
    </w:p>
    <w:p w14:paraId="591F39DD">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8"/>
          <w:szCs w:val="28"/>
        </w:rPr>
      </w:pPr>
    </w:p>
    <w:p w14:paraId="199C04A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8"/>
          <w:szCs w:val="28"/>
        </w:rPr>
      </w:pPr>
    </w:p>
    <w:p w14:paraId="6F26FC66">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8"/>
          <w:szCs w:val="28"/>
        </w:rPr>
      </w:pPr>
    </w:p>
    <w:p w14:paraId="4BF7BA00">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rPr>
      </w:pPr>
    </w:p>
    <w:p w14:paraId="0EC4DE6F">
      <w:pPr>
        <w:pStyle w:val="2"/>
        <w:keepNext w:val="0"/>
        <w:keepLines w:val="0"/>
        <w:pageBreakBefore w:val="0"/>
        <w:widowControl w:val="0"/>
        <w:kinsoku/>
        <w:wordWrap/>
        <w:overflowPunct/>
        <w:topLinePunct w:val="0"/>
        <w:autoSpaceDE/>
        <w:autoSpaceDN/>
        <w:bidi w:val="0"/>
        <w:adjustRightInd/>
        <w:snapToGrid/>
        <w:spacing w:line="800" w:lineRule="exact"/>
        <w:ind w:left="0" w:leftChars="0" w:firstLine="0" w:firstLineChars="0"/>
        <w:textAlignment w:val="auto"/>
        <w:rPr>
          <w:rFonts w:hint="default"/>
        </w:rPr>
      </w:pPr>
    </w:p>
    <w:p w14:paraId="0F57622C">
      <w:pPr>
        <w:keepNext w:val="0"/>
        <w:keepLines w:val="0"/>
        <w:pageBreakBefore w:val="0"/>
        <w:widowControl w:val="0"/>
        <w:kinsoku/>
        <w:wordWrap/>
        <w:overflowPunct/>
        <w:topLinePunct w:val="0"/>
        <w:autoSpaceDE/>
        <w:autoSpaceDN/>
        <w:bidi w:val="0"/>
        <w:adjustRightInd/>
        <w:snapToGrid/>
        <w:spacing w:line="560" w:lineRule="exact"/>
        <w:ind w:right="210" w:rightChars="100"/>
        <w:textAlignment w:val="auto"/>
        <w:rPr>
          <w:rFonts w:hint="default" w:ascii="Times New Roman" w:hAnsi="Times New Roman" w:eastAsia="仿宋_GB2312" w:cs="Times New Roman"/>
          <w:sz w:val="28"/>
          <w:szCs w:val="28"/>
        </w:rPr>
      </w:pPr>
    </w:p>
    <w:p w14:paraId="5F9E9536">
      <w:pPr>
        <w:keepNext w:val="0"/>
        <w:keepLines w:val="0"/>
        <w:pageBreakBefore w:val="0"/>
        <w:widowControl w:val="0"/>
        <w:kinsoku/>
        <w:wordWrap/>
        <w:overflowPunct/>
        <w:topLinePunct w:val="0"/>
        <w:autoSpaceDE/>
        <w:autoSpaceDN/>
        <w:bidi w:val="0"/>
        <w:adjustRightInd/>
        <w:snapToGrid/>
        <w:spacing w:line="440" w:lineRule="exact"/>
        <w:ind w:left="0" w:right="210" w:rightChars="100" w:hanging="840" w:hangingChars="300"/>
        <w:textAlignment w:val="auto"/>
        <w:rPr>
          <w:rFonts w:hint="eastAsia" w:ascii="仿宋_GB2312" w:hAnsi="仿宋_GB2312" w:eastAsia="仿宋_GB2312" w:cs="仿宋_GB2312"/>
          <w:sz w:val="28"/>
          <w:szCs w:val="28"/>
          <w:lang w:eastAsia="zh-CN"/>
        </w:rPr>
      </w:pPr>
      <w:r>
        <w:rPr>
          <w:rFonts w:hint="default" w:ascii="Times New Roman" w:hAnsi="Times New Roman" w:eastAsia="仿宋_GB2312"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-142240</wp:posOffset>
                </wp:positionH>
                <wp:positionV relativeFrom="paragraph">
                  <wp:posOffset>2540</wp:posOffset>
                </wp:positionV>
                <wp:extent cx="5901055" cy="0"/>
                <wp:effectExtent l="0" t="9525" r="4445" b="9525"/>
                <wp:wrapNone/>
                <wp:docPr id="1" name="直接连接符 5"/>
                <wp:cNvGraphicFramePr/>
                <a:graphic xmlns:a="http://schemas.openxmlformats.org/drawingml/2006/main">
                  <a:graphicData uri="http://schemas.microsoft.com/office/word/2010/wordprocessingShape">
                    <wps:wsp>
                      <wps:cNvCnPr/>
                      <wps:spPr>
                        <a:xfrm>
                          <a:off x="0" y="0"/>
                          <a:ext cx="5901055" cy="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id="直接连接符 5" o:spid="_x0000_s1026" o:spt="32" type="#_x0000_t32" style="position:absolute;left:0pt;margin-left:-11.2pt;margin-top:0.2pt;height:0pt;width:464.65pt;z-index:251660288;mso-width-relative:page;mso-height-relative:page;" filled="f" stroked="t" coordsize="21600,21600" o:gfxdata="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wRcddEAAAAFAQAADwAAAAAAAAABACAAAAAiAAAAZHJzL2Rvd25yZXYueG1sUEsBAhQA&#10;FAAAAAgAh07iQHFWSkj5AQAA8QMAAA4AAAAAAAAAAQAgAAAAIAEAAGRycy9lMm9Eb2MueG1sUEsF&#10;BgAAAAAGAAYAWQEAAIsFAAAAAA==&#10;">
                <v:fill on="f" focussize="0,0"/>
                <v:stroke weight="1.5pt" color="#000000" joinstyle="round"/>
                <v:imagedata o:title=""/>
                <o:lock v:ext="edit" aspectratio="f"/>
              </v:shape>
            </w:pict>
          </mc:Fallback>
        </mc:AlternateContent>
      </w:r>
      <w:r>
        <w:rPr>
          <w:rFonts w:hint="default" w:ascii="Times New Roman" w:hAnsi="Times New Roman" w:eastAsia="仿宋_GB2312" w:cs="Times New Roman"/>
          <w:sz w:val="28"/>
          <w:szCs w:val="28"/>
        </w:rPr>
        <w:t>抄送</w:t>
      </w:r>
      <w:r>
        <w:rPr>
          <w:rFonts w:hint="eastAsia" w:ascii="仿宋_GB2312" w:hAnsi="仿宋_GB2312" w:eastAsia="仿宋_GB2312" w:cs="仿宋_GB2312"/>
          <w:sz w:val="28"/>
          <w:szCs w:val="28"/>
        </w:rPr>
        <w:t>：塔城地区生态环境局乌苏市分局</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师市生态环境保护综合行政执法支队、生态环境监测站、胡杨河经济技术开发区应急管理和环境保护局</w:t>
      </w:r>
      <w:r>
        <w:rPr>
          <w:rFonts w:hint="eastAsia" w:ascii="仿宋_GB2312" w:hAnsi="仿宋_GB2312" w:eastAsia="仿宋_GB2312" w:cs="仿宋_GB2312"/>
          <w:sz w:val="28"/>
          <w:szCs w:val="28"/>
          <w:lang w:eastAsia="zh-CN"/>
        </w:rPr>
        <w:t>。</w:t>
      </w:r>
    </w:p>
    <w:p w14:paraId="077E45AA">
      <w:pPr>
        <w:spacing w:line="600" w:lineRule="exact"/>
        <w:ind w:right="210" w:rightChars="100"/>
        <w:rPr>
          <w:rFonts w:hint="eastAsia" w:ascii="仿宋_GB2312" w:hAnsi="仿宋_GB2312" w:eastAsia="仿宋_GB2312" w:cs="仿宋_GB2312"/>
          <w:lang w:val="en-US" w:eastAsia="zh-CN"/>
        </w:rPr>
      </w:pPr>
      <w:r>
        <w:rPr>
          <w:rFonts w:hint="eastAsia" w:ascii="仿宋_GB2312" w:hAnsi="仿宋_GB2312" w:eastAsia="仿宋_GB2312" w:cs="仿宋_GB2312"/>
          <w:sz w:val="28"/>
          <w:szCs w:val="28"/>
        </w:rPr>
        <mc:AlternateContent>
          <mc:Choice Requires="wps">
            <w:drawing>
              <wp:anchor distT="0" distB="0" distL="114300" distR="114300" simplePos="0" relativeHeight="251662336" behindDoc="0" locked="0" layoutInCell="1" allowOverlap="1">
                <wp:simplePos x="0" y="0"/>
                <wp:positionH relativeFrom="column">
                  <wp:posOffset>-152400</wp:posOffset>
                </wp:positionH>
                <wp:positionV relativeFrom="paragraph">
                  <wp:posOffset>371475</wp:posOffset>
                </wp:positionV>
                <wp:extent cx="5930265" cy="1270"/>
                <wp:effectExtent l="0" t="9525" r="13335" b="17780"/>
                <wp:wrapNone/>
                <wp:docPr id="3" name="直接连接符 4"/>
                <wp:cNvGraphicFramePr/>
                <a:graphic xmlns:a="http://schemas.openxmlformats.org/drawingml/2006/main">
                  <a:graphicData uri="http://schemas.microsoft.com/office/word/2010/wordprocessingShape">
                    <wps:wsp>
                      <wps:cNvCnPr/>
                      <wps:spPr>
                        <a:xfrm flipV="1">
                          <a:off x="0" y="0"/>
                          <a:ext cx="5930265" cy="127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id="直接连接符 4" o:spid="_x0000_s1026" o:spt="32" type="#_x0000_t32" style="position:absolute;left:0pt;flip:y;margin-left:-12pt;margin-top:29.25pt;height:0.1pt;width:466.95pt;z-index:251662336;mso-width-relative:page;mso-height-relative:page;" filled="f" stroked="t" coordsize="21600,21600" o:gfxdata="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hDXPtgAAAAJAQAADwAAAAAAAAABACAAAAAiAAAA&#10;ZHJzL2Rvd25yZXYueG1sUEsBAhQAFAAAAAgAh07iQN+/8UIHAgAA/gMAAA4AAAAAAAAAAQAgAAAA&#10;JwEAAGRycy9lMm9Eb2MueG1sUEsFBgAAAAAGAAYAWQEAAKAFAAAAAA==&#10;">
                <v:fill on="f" focussize="0,0"/>
                <v:stroke weight="1.5pt" color="#000000" joinstyle="round"/>
                <v:imagedata o:title=""/>
                <o:lock v:ext="edit" aspectratio="f"/>
              </v:shape>
            </w:pict>
          </mc:Fallback>
        </mc:AlternateContent>
      </w:r>
      <w:r>
        <w:rPr>
          <w:rFonts w:hint="eastAsia" w:ascii="仿宋_GB2312" w:hAnsi="仿宋_GB2312" w:eastAsia="仿宋_GB2312" w:cs="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0</wp:posOffset>
                </wp:positionV>
                <wp:extent cx="5882640" cy="0"/>
                <wp:effectExtent l="0" t="0" r="0" b="0"/>
                <wp:wrapNone/>
                <wp:docPr id="2" name="直接连接符 3"/>
                <wp:cNvGraphicFramePr/>
                <a:graphic xmlns:a="http://schemas.openxmlformats.org/drawingml/2006/main">
                  <a:graphicData uri="http://schemas.microsoft.com/office/word/2010/wordprocessingShape">
                    <wps:wsp>
                      <wps:cNvCnPr/>
                      <wps:spPr>
                        <a:xfrm>
                          <a:off x="0" y="0"/>
                          <a:ext cx="5882640" cy="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直接连接符 3" o:spid="_x0000_s1026" o:spt="32" type="#_x0000_t32" style="position:absolute;left:0pt;margin-left:-11.25pt;margin-top:0pt;height:0pt;width:463.2pt;z-index:251661312;mso-width-relative:page;mso-height-relative:page;" filled="f" stroked="t" coordsize="21600,21600" o:gfxdata="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gu0c3UAAAABQEAAA8AAAAAAAAAAQAgAAAAIgAAAGRycy9kb3ducmV2LnhtbFBL&#10;AQIUABQAAAAIAIdO4kDtBQzC+gEAAPADAAAOAAAAAAAAAAEAIAAAACMBAABkcnMvZTJvRG9jLnht&#10;bFBLBQYAAAAABgAGAFkBAACPBQAAAAA=&#10;">
                <v:fill on="f" focussize="0,0"/>
                <v:stroke color="#000000" joinstyle="round"/>
                <v:imagedata o:title=""/>
                <o:lock v:ext="edit" aspectratio="f"/>
              </v:shape>
            </w:pict>
          </mc:Fallback>
        </mc:AlternateContent>
      </w:r>
      <w:r>
        <w:rPr>
          <w:rFonts w:hint="eastAsia" w:ascii="仿宋_GB2312" w:hAnsi="仿宋_GB2312" w:eastAsia="仿宋_GB2312" w:cs="仿宋_GB2312"/>
          <w:sz w:val="28"/>
          <w:szCs w:val="28"/>
        </w:rPr>
        <w:t xml:space="preserve">兵团第七师胡杨河市生态环境局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rPr>
        <w:t>日印</w:t>
      </w:r>
      <w:r>
        <w:rPr>
          <w:rFonts w:hint="eastAsia" w:ascii="仿宋_GB2312" w:hAnsi="仿宋_GB2312" w:eastAsia="仿宋_GB2312" w:cs="仿宋_GB2312"/>
          <w:sz w:val="28"/>
          <w:szCs w:val="28"/>
          <w:lang w:val="en-US" w:eastAsia="zh-CN"/>
        </w:rPr>
        <w:t>发</w:t>
      </w:r>
    </w:p>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59BB6">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-114300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8573D7">
                          <w:pPr>
                            <w:pStyle w:val="8"/>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9pt;height:144pt;width:144pt;mso-position-horizontal:outside;mso-position-horizontal-relative:margin;mso-wrap-style:none;z-index:251659264;mso-width-relative:page;mso-height-relative:page;" filled="f" stroked="f" coordsize="21600,21600" o:gfxdata="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XaJ/59QAAAAIAQAADwAAAAAAAAABACAAAAAiAAAAZHJzL2Rvd25yZXYueG1sUEsB&#10;AhQAFAAAAAgAh07iQLqMOCsyAgAAYQQAAA4AAAAAAAAAAQAgAAAAIwEAAGRycy9lMm9Eb2MueG1s&#10;UEsFBgAAAAAGAAYAWQEAAMcFAAAAAA==&#10;">
              <v:fill on="f" focussize="0,0"/>
              <v:stroke on="f" weight="0.5pt"/>
              <v:imagedata o:title=""/>
              <o:lock v:ext="edit" aspectratio="f"/>
              <v:textbox inset="0mm,0mm,0mm,0mm" style="mso-fit-shape-to-text:t;">
                <w:txbxContent>
                  <w:p w14:paraId="7C8573D7">
                    <w:pPr>
                      <w:pStyle w:val="8"/>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jZTQ2MWYyYTY5MDNmZDNlOGVlYzE1OWZlNTE2NTUifQ=="/>
  </w:docVars>
  <w:rsids>
    <w:rsidRoot w:val="19A61553"/>
    <w:rsid w:val="00301E8D"/>
    <w:rsid w:val="006F367F"/>
    <w:rsid w:val="00742AA9"/>
    <w:rsid w:val="01B110AA"/>
    <w:rsid w:val="025F2F6C"/>
    <w:rsid w:val="03E07A24"/>
    <w:rsid w:val="0402172C"/>
    <w:rsid w:val="06103791"/>
    <w:rsid w:val="064F49ED"/>
    <w:rsid w:val="07EF0236"/>
    <w:rsid w:val="0A0D21E1"/>
    <w:rsid w:val="0A6D7B38"/>
    <w:rsid w:val="0A717628"/>
    <w:rsid w:val="0BD55735"/>
    <w:rsid w:val="0CD67C16"/>
    <w:rsid w:val="0CEB02C3"/>
    <w:rsid w:val="0DEC6201"/>
    <w:rsid w:val="0E927B6D"/>
    <w:rsid w:val="0F3A0A84"/>
    <w:rsid w:val="0F8E2A2A"/>
    <w:rsid w:val="0F9811B3"/>
    <w:rsid w:val="10415B91"/>
    <w:rsid w:val="13222B5F"/>
    <w:rsid w:val="1367781A"/>
    <w:rsid w:val="13B33653"/>
    <w:rsid w:val="15E46F00"/>
    <w:rsid w:val="19A61553"/>
    <w:rsid w:val="1ABC044C"/>
    <w:rsid w:val="1CB3762C"/>
    <w:rsid w:val="1D4B3D09"/>
    <w:rsid w:val="1E1F706C"/>
    <w:rsid w:val="1E222CBC"/>
    <w:rsid w:val="1E2F2A87"/>
    <w:rsid w:val="1E4C5A99"/>
    <w:rsid w:val="1F0C482E"/>
    <w:rsid w:val="1F6410B2"/>
    <w:rsid w:val="2177331E"/>
    <w:rsid w:val="21A1039B"/>
    <w:rsid w:val="24C7636B"/>
    <w:rsid w:val="24F3437F"/>
    <w:rsid w:val="274A3283"/>
    <w:rsid w:val="27E6038A"/>
    <w:rsid w:val="293E30BA"/>
    <w:rsid w:val="29ED02E2"/>
    <w:rsid w:val="2A0C4820"/>
    <w:rsid w:val="2A492FF3"/>
    <w:rsid w:val="2BE9171D"/>
    <w:rsid w:val="2DB66F7C"/>
    <w:rsid w:val="2DB71358"/>
    <w:rsid w:val="2E6647A7"/>
    <w:rsid w:val="2FE778C1"/>
    <w:rsid w:val="30766E97"/>
    <w:rsid w:val="308621F1"/>
    <w:rsid w:val="30E57BC8"/>
    <w:rsid w:val="319A0963"/>
    <w:rsid w:val="31DB1B10"/>
    <w:rsid w:val="31DE6AA2"/>
    <w:rsid w:val="325A00D3"/>
    <w:rsid w:val="32EA1B39"/>
    <w:rsid w:val="334B0167"/>
    <w:rsid w:val="3390201E"/>
    <w:rsid w:val="34552334"/>
    <w:rsid w:val="345D63A4"/>
    <w:rsid w:val="34DB0164"/>
    <w:rsid w:val="34DB0F65"/>
    <w:rsid w:val="35222615"/>
    <w:rsid w:val="35335B87"/>
    <w:rsid w:val="3763266A"/>
    <w:rsid w:val="37641BBC"/>
    <w:rsid w:val="37C91FA2"/>
    <w:rsid w:val="389B146D"/>
    <w:rsid w:val="38A30A78"/>
    <w:rsid w:val="390336C5"/>
    <w:rsid w:val="39586DFD"/>
    <w:rsid w:val="3B901665"/>
    <w:rsid w:val="3E3F2FBE"/>
    <w:rsid w:val="3E5263F1"/>
    <w:rsid w:val="3E8F41EC"/>
    <w:rsid w:val="3ED656D0"/>
    <w:rsid w:val="3F712B5E"/>
    <w:rsid w:val="3F9B0E38"/>
    <w:rsid w:val="412344D1"/>
    <w:rsid w:val="41E12475"/>
    <w:rsid w:val="41F36599"/>
    <w:rsid w:val="425C5EED"/>
    <w:rsid w:val="4475215D"/>
    <w:rsid w:val="44AC37CB"/>
    <w:rsid w:val="465316EE"/>
    <w:rsid w:val="46C2653A"/>
    <w:rsid w:val="46CD5F17"/>
    <w:rsid w:val="46F76C15"/>
    <w:rsid w:val="47623535"/>
    <w:rsid w:val="497529D7"/>
    <w:rsid w:val="4B0E2331"/>
    <w:rsid w:val="4B4732F2"/>
    <w:rsid w:val="4B9E0BAE"/>
    <w:rsid w:val="4BE111CF"/>
    <w:rsid w:val="4D3248D1"/>
    <w:rsid w:val="4DF46F02"/>
    <w:rsid w:val="4E1C7BCA"/>
    <w:rsid w:val="4E23273D"/>
    <w:rsid w:val="4E2A19FE"/>
    <w:rsid w:val="4E8B592A"/>
    <w:rsid w:val="5144471C"/>
    <w:rsid w:val="519163C1"/>
    <w:rsid w:val="51CA44D0"/>
    <w:rsid w:val="52016A0C"/>
    <w:rsid w:val="521E31BF"/>
    <w:rsid w:val="53732803"/>
    <w:rsid w:val="5445681C"/>
    <w:rsid w:val="54E21B59"/>
    <w:rsid w:val="55F63B99"/>
    <w:rsid w:val="576461D9"/>
    <w:rsid w:val="5786035A"/>
    <w:rsid w:val="5851771E"/>
    <w:rsid w:val="58D34BF9"/>
    <w:rsid w:val="593C3F2A"/>
    <w:rsid w:val="598D4786"/>
    <w:rsid w:val="59BB12F3"/>
    <w:rsid w:val="5A0B54BA"/>
    <w:rsid w:val="5A132EDD"/>
    <w:rsid w:val="5A2854B0"/>
    <w:rsid w:val="5AD563E4"/>
    <w:rsid w:val="5ADB6D32"/>
    <w:rsid w:val="5BBE331C"/>
    <w:rsid w:val="5D8F4F70"/>
    <w:rsid w:val="5E116A2B"/>
    <w:rsid w:val="5EAF46C2"/>
    <w:rsid w:val="5EE50BC0"/>
    <w:rsid w:val="5F304919"/>
    <w:rsid w:val="5FCF6BF0"/>
    <w:rsid w:val="609D79A4"/>
    <w:rsid w:val="60BB7E2A"/>
    <w:rsid w:val="6109328C"/>
    <w:rsid w:val="612B239E"/>
    <w:rsid w:val="623C143F"/>
    <w:rsid w:val="62A019CE"/>
    <w:rsid w:val="62E3579C"/>
    <w:rsid w:val="644952F5"/>
    <w:rsid w:val="651D40D0"/>
    <w:rsid w:val="6703077D"/>
    <w:rsid w:val="679C6136"/>
    <w:rsid w:val="68152516"/>
    <w:rsid w:val="698B1E19"/>
    <w:rsid w:val="6CC3509F"/>
    <w:rsid w:val="6F2512C7"/>
    <w:rsid w:val="6F4158DC"/>
    <w:rsid w:val="70445CD9"/>
    <w:rsid w:val="708446DD"/>
    <w:rsid w:val="715F4802"/>
    <w:rsid w:val="7375588F"/>
    <w:rsid w:val="73E5637C"/>
    <w:rsid w:val="75006CB2"/>
    <w:rsid w:val="7516167C"/>
    <w:rsid w:val="75F30136"/>
    <w:rsid w:val="76017E90"/>
    <w:rsid w:val="79AC0800"/>
    <w:rsid w:val="7BE007E5"/>
    <w:rsid w:val="7BE262C5"/>
    <w:rsid w:val="7E3030BB"/>
    <w:rsid w:val="7F4A4B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keepNext w:val="0"/>
      <w:keepLines w:val="0"/>
      <w:widowControl w:val="0"/>
      <w:suppressLineNumbers w:val="0"/>
      <w:spacing w:before="156" w:beforeLines="50" w:beforeAutospacing="0" w:after="156" w:afterLines="50" w:afterAutospacing="0" w:line="360" w:lineRule="auto"/>
      <w:ind w:left="0" w:right="0" w:firstLine="420" w:firstLineChars="200"/>
      <w:jc w:val="both"/>
    </w:pPr>
    <w:rPr>
      <w:rFonts w:hint="default" w:ascii="Times New Roman" w:hAnsi="Times New Roman" w:eastAsia="宋体" w:cs="Times New Roman"/>
      <w:kern w:val="2"/>
      <w:sz w:val="24"/>
      <w:szCs w:val="24"/>
      <w:lang w:val="en-US" w:eastAsia="zh-CN" w:bidi="ar-SA"/>
    </w:rPr>
  </w:style>
  <w:style w:type="paragraph" w:styleId="3">
    <w:name w:val="Body Text Indent"/>
    <w:basedOn w:val="1"/>
    <w:next w:val="1"/>
    <w:semiHidden/>
    <w:uiPriority w:val="99"/>
    <w:pPr>
      <w:spacing w:after="120"/>
      <w:ind w:left="420" w:leftChars="200"/>
    </w:pPr>
  </w:style>
  <w:style w:type="paragraph" w:styleId="4">
    <w:name w:val="index 5"/>
    <w:basedOn w:val="1"/>
    <w:next w:val="1"/>
    <w:qFormat/>
    <w:uiPriority w:val="0"/>
    <w:pPr>
      <w:ind w:left="800" w:leftChars="800"/>
    </w:pPr>
  </w:style>
  <w:style w:type="paragraph" w:styleId="5">
    <w:name w:val="Body Text"/>
    <w:basedOn w:val="1"/>
    <w:next w:val="6"/>
    <w:qFormat/>
    <w:uiPriority w:val="0"/>
    <w:rPr>
      <w:rFonts w:eastAsia="华文中宋"/>
      <w:b/>
      <w:bCs/>
      <w:w w:val="90"/>
      <w:sz w:val="44"/>
    </w:rPr>
  </w:style>
  <w:style w:type="paragraph" w:customStyle="1" w:styleId="6">
    <w:name w:val="Default"/>
    <w:basedOn w:val="7"/>
    <w:next w:val="1"/>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7">
    <w:name w:val="纯文本1"/>
    <w:basedOn w:val="1"/>
    <w:qFormat/>
    <w:uiPriority w:val="0"/>
    <w:pPr>
      <w:adjustRightInd w:val="0"/>
      <w:textAlignment w:val="baseline"/>
    </w:pPr>
    <w:rPr>
      <w:rFonts w:ascii="宋体" w:hAnsi="Courier New"/>
      <w:szCs w:val="20"/>
    </w:rPr>
  </w:style>
  <w:style w:type="paragraph" w:styleId="8">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List"/>
    <w:basedOn w:val="1"/>
    <w:qFormat/>
    <w:uiPriority w:val="0"/>
    <w:pPr>
      <w:ind w:left="200" w:hanging="200" w:hangingChars="200"/>
    </w:pPr>
  </w:style>
  <w:style w:type="paragraph" w:styleId="10">
    <w:name w:val="footnote text"/>
    <w:basedOn w:val="1"/>
    <w:next w:val="4"/>
    <w:unhideWhenUsed/>
    <w:qFormat/>
    <w:uiPriority w:val="99"/>
    <w:pPr>
      <w:snapToGrid w:val="0"/>
      <w:jc w:val="left"/>
    </w:pPr>
    <w:rPr>
      <w:rFonts w:ascii="Calibri" w:hAnsi="Calibri" w:eastAsia="仿宋" w:cs="Times New Roman"/>
      <w:sz w:val="18"/>
      <w:szCs w:val="18"/>
    </w:rPr>
  </w:style>
  <w:style w:type="paragraph" w:styleId="11">
    <w:name w:val="Body Text 2"/>
    <w:basedOn w:val="1"/>
    <w:unhideWhenUsed/>
    <w:qFormat/>
    <w:uiPriority w:val="99"/>
    <w:pPr>
      <w:spacing w:after="120" w:line="480" w:lineRule="auto"/>
    </w:pPr>
  </w:style>
  <w:style w:type="paragraph" w:customStyle="1" w:styleId="14">
    <w:name w:val="1 表头"/>
    <w:basedOn w:val="1"/>
    <w:qFormat/>
    <w:uiPriority w:val="0"/>
    <w:pPr>
      <w:adjustRightInd w:val="0"/>
      <w:snapToGrid w:val="0"/>
      <w:spacing w:line="240" w:lineRule="auto"/>
      <w:ind w:firstLine="0" w:firstLineChars="0"/>
      <w:jc w:val="center"/>
    </w:pPr>
    <w:rPr>
      <w:b/>
      <w:color w:val="000000"/>
      <w:sz w:val="21"/>
      <w:szCs w:val="21"/>
    </w:rPr>
  </w:style>
  <w:style w:type="paragraph" w:customStyle="1" w:styleId="15">
    <w:name w:val="xl27"/>
    <w:basedOn w:val="1"/>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1593</Words>
  <Characters>1773</Characters>
  <Lines>0</Lines>
  <Paragraphs>0</Paragraphs>
  <TotalTime>2</TotalTime>
  <ScaleCrop>false</ScaleCrop>
  <LinksUpToDate>false</LinksUpToDate>
  <CharactersWithSpaces>1819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2024-08-23T02:46:00Z</dcterms:created>
  <dc:creator>Administrator</dc:creator>
  <cp:lastModifiedBy>风的自由</cp:lastModifiedBy>
  <cp:lastPrinted>2025-12-12T04:00:00Z</cp:lastPrinted>
  <dcterms:modified xsi:type="dcterms:W3CDTF">2025-12-12T11:26:07Z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91E510A10A7A49E682F7B3F0420CF93F_13</vt:lpwstr>
  </property>
  <property fmtid="{D5CDD505-2E9C-101B-9397-08002B2CF9AE}" pid="4" name="KSOTemplateDocerSaveRecord">
    <vt:lpwstr>eyJoZGlkIjoiODBjNzYxYmIzOWJkMDlmNzJmZjdjMmNkNDkzMGYxZDkiLCJ1c2VySWQiOiI1NTE5NjI2NTYifQ==</vt:lpwstr>
  </property>
</Properties>
</file>