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BFDF">
      <w:pPr>
        <w:rPr>
          <w:rFonts w:hint="default" w:ascii="Times New Roman" w:hAnsi="Times New Roman" w:eastAsia="仿宋_GB2312" w:cs="Times New Roman"/>
          <w:color w:val="auto"/>
          <w:sz w:val="36"/>
          <w:szCs w:val="36"/>
          <w:highlight w:val="none"/>
          <w:lang w:eastAsia="zh-CN"/>
        </w:rPr>
      </w:pPr>
    </w:p>
    <w:p w14:paraId="5CC23AC0">
      <w:pPr>
        <w:rPr>
          <w:rFonts w:hint="default" w:ascii="Times New Roman" w:hAnsi="Times New Roman" w:eastAsia="仿宋_GB2312" w:cs="Times New Roman"/>
          <w:color w:val="auto"/>
          <w:sz w:val="36"/>
          <w:szCs w:val="36"/>
          <w:highlight w:val="none"/>
          <w:lang w:val="en-US" w:eastAsia="zh-CN"/>
        </w:rPr>
      </w:pPr>
    </w:p>
    <w:p w14:paraId="55459142">
      <w:pPr>
        <w:rPr>
          <w:rFonts w:hint="default" w:ascii="Times New Roman" w:hAnsi="Times New Roman" w:eastAsia="仿宋_GB2312" w:cs="Times New Roman"/>
          <w:color w:val="auto"/>
          <w:sz w:val="36"/>
          <w:szCs w:val="36"/>
          <w:highlight w:val="none"/>
        </w:rPr>
      </w:pPr>
    </w:p>
    <w:p w14:paraId="65D6C08D">
      <w:pPr>
        <w:rPr>
          <w:rFonts w:hint="default" w:ascii="Times New Roman" w:hAnsi="Times New Roman" w:eastAsia="仿宋_GB2312" w:cs="Times New Roman"/>
          <w:color w:val="auto"/>
          <w:sz w:val="36"/>
          <w:szCs w:val="36"/>
          <w:highlight w:val="none"/>
        </w:rPr>
      </w:pPr>
    </w:p>
    <w:p w14:paraId="58E9B5FC">
      <w:pPr>
        <w:adjustRightInd w:val="0"/>
        <w:snapToGrid w:val="0"/>
        <w:jc w:val="center"/>
        <w:outlineLvl w:val="0"/>
        <w:rPr>
          <w:rFonts w:hint="default" w:ascii="Times New Roman" w:hAnsi="Times New Roman" w:eastAsia="方正小标宋_GBK" w:cs="Times New Roman"/>
          <w:bCs/>
          <w:color w:val="auto"/>
          <w:sz w:val="72"/>
          <w:szCs w:val="72"/>
          <w:highlight w:val="none"/>
        </w:rPr>
      </w:pPr>
      <w:r>
        <w:rPr>
          <w:rFonts w:hint="default" w:ascii="Times New Roman" w:hAnsi="Times New Roman" w:eastAsia="方正小标宋_GBK" w:cs="Times New Roman"/>
          <w:bCs/>
          <w:color w:val="auto"/>
          <w:sz w:val="72"/>
          <w:szCs w:val="72"/>
          <w:highlight w:val="none"/>
        </w:rPr>
        <w:t>建设项目环境影响报告表</w:t>
      </w:r>
    </w:p>
    <w:p w14:paraId="11580AAA">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（污染影响类）</w:t>
      </w:r>
    </w:p>
    <w:p w14:paraId="0ECA58B8">
      <w:pPr>
        <w:jc w:val="center"/>
        <w:rPr>
          <w:rFonts w:hint="default" w:ascii="Times New Roman" w:hAnsi="Times New Roman" w:eastAsia="仿宋" w:cs="Times New Roman"/>
          <w:color w:val="auto"/>
          <w:sz w:val="52"/>
          <w:szCs w:val="52"/>
          <w:highlight w:val="none"/>
        </w:rPr>
      </w:pPr>
    </w:p>
    <w:p w14:paraId="5177D2D2">
      <w:pPr>
        <w:jc w:val="center"/>
        <w:rPr>
          <w:rFonts w:hint="default" w:ascii="Times New Roman" w:hAnsi="Times New Roman" w:eastAsia="仿宋" w:cs="Times New Roman"/>
          <w:color w:val="auto"/>
          <w:sz w:val="52"/>
          <w:szCs w:val="52"/>
          <w:highlight w:val="none"/>
        </w:rPr>
      </w:pPr>
    </w:p>
    <w:p w14:paraId="534C29BF">
      <w:pPr>
        <w:jc w:val="center"/>
        <w:rPr>
          <w:rFonts w:hint="default" w:ascii="Times New Roman" w:hAnsi="Times New Roman" w:eastAsia="仿宋" w:cs="Times New Roman"/>
          <w:color w:val="auto"/>
          <w:sz w:val="52"/>
          <w:szCs w:val="52"/>
          <w:highlight w:val="none"/>
        </w:rPr>
      </w:pPr>
    </w:p>
    <w:p w14:paraId="7DAED69A">
      <w:pPr>
        <w:jc w:val="center"/>
        <w:rPr>
          <w:rFonts w:hint="default" w:ascii="Times New Roman" w:hAnsi="Times New Roman" w:eastAsia="仿宋" w:cs="Times New Roman"/>
          <w:color w:val="auto"/>
          <w:sz w:val="52"/>
          <w:szCs w:val="52"/>
          <w:highlight w:val="none"/>
        </w:rPr>
      </w:pPr>
    </w:p>
    <w:p w14:paraId="00BC898B">
      <w:pPr>
        <w:jc w:val="center"/>
        <w:rPr>
          <w:rFonts w:hint="default" w:ascii="Times New Roman" w:hAnsi="Times New Roman" w:eastAsia="仿宋" w:cs="Times New Roman"/>
          <w:color w:val="auto"/>
          <w:sz w:val="52"/>
          <w:szCs w:val="52"/>
          <w:highlight w:val="none"/>
        </w:rPr>
      </w:pPr>
    </w:p>
    <w:p w14:paraId="14D9D19E">
      <w:pPr>
        <w:jc w:val="center"/>
        <w:rPr>
          <w:rFonts w:hint="default" w:ascii="Times New Roman" w:hAnsi="Times New Roman" w:eastAsia="仿宋" w:cs="Times New Roman"/>
          <w:color w:val="auto"/>
          <w:sz w:val="52"/>
          <w:szCs w:val="52"/>
          <w:highlight w:val="none"/>
        </w:rPr>
      </w:pPr>
    </w:p>
    <w:p w14:paraId="56B120AE">
      <w:pPr>
        <w:ind w:firstLine="1040"/>
        <w:rPr>
          <w:rFonts w:hint="default" w:ascii="Times New Roman" w:hAnsi="Times New Roman" w:eastAsia="仿宋" w:cs="Times New Roman"/>
          <w:color w:val="auto"/>
          <w:sz w:val="44"/>
          <w:szCs w:val="44"/>
          <w:highlight w:val="none"/>
        </w:rPr>
      </w:pPr>
    </w:p>
    <w:p w14:paraId="49EEC0A0">
      <w:pPr>
        <w:adjustRightInd w:val="0"/>
        <w:snapToGrid w:val="0"/>
        <w:spacing w:line="288" w:lineRule="auto"/>
        <w:ind w:firstLine="320" w:firstLineChars="100"/>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项目名称：</w:t>
      </w:r>
      <w:r>
        <w:rPr>
          <w:rFonts w:hint="default" w:ascii="Times New Roman" w:hAnsi="Times New Roman" w:eastAsia="仿宋_GB2312" w:cs="Times New Roman"/>
          <w:color w:val="auto"/>
          <w:sz w:val="32"/>
          <w:szCs w:val="32"/>
          <w:highlight w:val="none"/>
          <w:u w:val="single"/>
          <w:lang w:val="en-US" w:eastAsia="zh-CN"/>
        </w:rPr>
        <w:t xml:space="preserve">  第七师129团玉米烘干厂建设项目   </w:t>
      </w:r>
    </w:p>
    <w:p w14:paraId="51F1ED0D">
      <w:pPr>
        <w:adjustRightInd w:val="0"/>
        <w:snapToGrid w:val="0"/>
        <w:spacing w:line="288" w:lineRule="auto"/>
        <w:ind w:left="3239" w:leftChars="171" w:hanging="2880" w:hangingChars="900"/>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建设单位（盖章）：</w:t>
      </w:r>
      <w:r>
        <w:rPr>
          <w:rFonts w:hint="default" w:ascii="Times New Roman" w:hAnsi="Times New Roman" w:eastAsia="仿宋_GB2312" w:cs="Times New Roman"/>
          <w:color w:val="auto"/>
          <w:sz w:val="32"/>
          <w:szCs w:val="32"/>
          <w:highlight w:val="none"/>
          <w:u w:val="single"/>
          <w:lang w:val="en-US" w:eastAsia="zh-CN"/>
        </w:rPr>
        <w:t xml:space="preserve">九垓粮枢农业（新疆）有限公司 </w:t>
      </w:r>
    </w:p>
    <w:p w14:paraId="180320FB">
      <w:pPr>
        <w:adjustRightInd w:val="0"/>
        <w:snapToGrid w:val="0"/>
        <w:spacing w:line="288" w:lineRule="auto"/>
        <w:ind w:firstLine="320" w:firstLineChars="1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编制日期：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2025年1</w:t>
      </w:r>
      <w:r>
        <w:rPr>
          <w:rFonts w:hint="eastAsia"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lang w:val="en-US" w:eastAsia="zh-CN"/>
        </w:rPr>
        <w:t xml:space="preserve">月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7E2E0854">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0" w:name="_Hlk57884087"/>
    </w:p>
    <w:p w14:paraId="2CBB2A5F">
      <w:pPr>
        <w:adjustRightInd w:val="0"/>
        <w:snapToGrid w:val="0"/>
        <w:spacing w:line="288" w:lineRule="auto"/>
        <w:ind w:firstLine="1040"/>
        <w:rPr>
          <w:rFonts w:hint="default" w:ascii="Times New Roman" w:hAnsi="Times New Roman" w:eastAsia="仿宋_GB2312" w:cs="Times New Roman"/>
          <w:color w:val="auto"/>
          <w:sz w:val="36"/>
          <w:szCs w:val="36"/>
          <w:highlight w:val="none"/>
          <w:lang w:eastAsia="zh-CN"/>
        </w:rPr>
      </w:pPr>
    </w:p>
    <w:p w14:paraId="5AF88B17">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0"/>
    <w:p w14:paraId="69ADA05D">
      <w:pPr>
        <w:ind w:firstLine="1040"/>
        <w:rPr>
          <w:rFonts w:hint="default" w:ascii="Times New Roman" w:hAnsi="Times New Roman" w:eastAsia="楷体_GB2312" w:cs="Times New Roman"/>
          <w:color w:val="auto"/>
          <w:sz w:val="36"/>
          <w:szCs w:val="36"/>
          <w:highlight w:val="none"/>
        </w:rPr>
      </w:pPr>
    </w:p>
    <w:p w14:paraId="7A0E33D8">
      <w:pPr>
        <w:ind w:firstLine="1040"/>
        <w:rPr>
          <w:rFonts w:hint="default" w:ascii="Times New Roman" w:hAnsi="Times New Roman" w:eastAsia="楷体_GB2312" w:cs="Times New Roman"/>
          <w:color w:val="auto"/>
          <w:sz w:val="36"/>
          <w:szCs w:val="36"/>
          <w:highlight w:val="none"/>
        </w:rPr>
      </w:pPr>
    </w:p>
    <w:p w14:paraId="77F89CEF">
      <w:pPr>
        <w:jc w:val="center"/>
        <w:rPr>
          <w:rFonts w:hint="default" w:ascii="Times New Roman" w:hAnsi="Times New Roman" w:eastAsia="仿宋" w:cs="Times New Roman"/>
          <w:color w:val="auto"/>
          <w:sz w:val="30"/>
          <w:szCs w:val="30"/>
          <w:highlight w:val="none"/>
        </w:rPr>
      </w:pPr>
      <w:r>
        <w:rPr>
          <w:rFonts w:hint="default" w:ascii="Times New Roman" w:hAnsi="Times New Roman" w:eastAsia="楷体_GB2312" w:cs="Times New Roman"/>
          <w:color w:val="auto"/>
          <w:sz w:val="30"/>
          <w:szCs w:val="30"/>
          <w:highlight w:val="none"/>
        </w:rPr>
        <w:t>中华人民共和国生态环境部制</w:t>
      </w:r>
    </w:p>
    <w:p w14:paraId="4372B8B8">
      <w:pPr>
        <w:rPr>
          <w:rFonts w:hint="default" w:ascii="Times New Roman" w:hAnsi="Times New Roman" w:eastAsia="仿宋" w:cs="Times New Roman"/>
          <w:color w:val="auto"/>
          <w:sz w:val="44"/>
          <w:szCs w:val="44"/>
          <w:highlight w:val="none"/>
        </w:rPr>
      </w:pPr>
    </w:p>
    <w:tbl>
      <w:tblPr>
        <w:tblStyle w:val="19"/>
        <w:tblW w:w="0" w:type="auto"/>
        <w:tblInd w:w="0" w:type="dxa"/>
        <w:tblLayout w:type="fixed"/>
        <w:tblCellMar>
          <w:top w:w="0" w:type="dxa"/>
          <w:left w:w="108" w:type="dxa"/>
          <w:bottom w:w="0" w:type="dxa"/>
          <w:right w:w="108" w:type="dxa"/>
        </w:tblCellMar>
      </w:tblPr>
      <w:tblGrid>
        <w:gridCol w:w="4530"/>
        <w:gridCol w:w="4530"/>
      </w:tblGrid>
      <w:tr w14:paraId="3D51F97D">
        <w:tblPrEx>
          <w:tblCellMar>
            <w:top w:w="0" w:type="dxa"/>
            <w:left w:w="108" w:type="dxa"/>
            <w:bottom w:w="0" w:type="dxa"/>
            <w:right w:w="108" w:type="dxa"/>
          </w:tblCellMar>
        </w:tblPrEx>
        <w:tc>
          <w:tcPr>
            <w:tcW w:w="4530" w:type="dxa"/>
            <w:noWrap w:val="0"/>
            <w:vAlign w:val="center"/>
          </w:tcPr>
          <w:p w14:paraId="56D7B742">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drawing>
                <wp:inline distT="0" distB="0" distL="114300" distR="114300">
                  <wp:extent cx="2736215" cy="2052320"/>
                  <wp:effectExtent l="0" t="0" r="6985" b="5080"/>
                  <wp:docPr id="14" name="图片 14" descr="20251107162947234-45-126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0251107162947234-45-1263818"/>
                          <pic:cNvPicPr>
                            <a:picLocks noChangeAspect="1"/>
                          </pic:cNvPicPr>
                        </pic:nvPicPr>
                        <pic:blipFill>
                          <a:blip r:embed="rId5"/>
                          <a:stretch>
                            <a:fillRect/>
                          </a:stretch>
                        </pic:blipFill>
                        <pic:spPr>
                          <a:xfrm>
                            <a:off x="0" y="0"/>
                            <a:ext cx="2736215" cy="2052320"/>
                          </a:xfrm>
                          <a:prstGeom prst="rect">
                            <a:avLst/>
                          </a:prstGeom>
                        </pic:spPr>
                      </pic:pic>
                    </a:graphicData>
                  </a:graphic>
                </wp:inline>
              </w:drawing>
            </w:r>
          </w:p>
        </w:tc>
        <w:tc>
          <w:tcPr>
            <w:tcW w:w="4530" w:type="dxa"/>
            <w:noWrap w:val="0"/>
            <w:vAlign w:val="center"/>
          </w:tcPr>
          <w:p w14:paraId="2B911FD3">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drawing>
                <wp:inline distT="0" distB="0" distL="114300" distR="114300">
                  <wp:extent cx="2736215" cy="2052320"/>
                  <wp:effectExtent l="0" t="0" r="6985" b="5080"/>
                  <wp:docPr id="15" name="图片 15" descr="20251107162228481-6-138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0251107162228481-6-1386078"/>
                          <pic:cNvPicPr>
                            <a:picLocks noChangeAspect="1"/>
                          </pic:cNvPicPr>
                        </pic:nvPicPr>
                        <pic:blipFill>
                          <a:blip r:embed="rId6"/>
                          <a:stretch>
                            <a:fillRect/>
                          </a:stretch>
                        </pic:blipFill>
                        <pic:spPr>
                          <a:xfrm>
                            <a:off x="0" y="0"/>
                            <a:ext cx="2736215" cy="2052320"/>
                          </a:xfrm>
                          <a:prstGeom prst="rect">
                            <a:avLst/>
                          </a:prstGeom>
                        </pic:spPr>
                      </pic:pic>
                    </a:graphicData>
                  </a:graphic>
                </wp:inline>
              </w:drawing>
            </w:r>
          </w:p>
        </w:tc>
      </w:tr>
      <w:tr w14:paraId="71157AA6">
        <w:tblPrEx>
          <w:tblCellMar>
            <w:top w:w="0" w:type="dxa"/>
            <w:left w:w="108" w:type="dxa"/>
            <w:bottom w:w="0" w:type="dxa"/>
            <w:right w:w="108" w:type="dxa"/>
          </w:tblCellMar>
        </w:tblPrEx>
        <w:tc>
          <w:tcPr>
            <w:tcW w:w="4530" w:type="dxa"/>
            <w:noWrap w:val="0"/>
            <w:vAlign w:val="center"/>
          </w:tcPr>
          <w:p w14:paraId="5D201C0B">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eastAsia="zh-CN"/>
              </w:rPr>
              <w:t>项目区东侧（</w:t>
            </w:r>
            <w:r>
              <w:rPr>
                <w:rFonts w:hint="default" w:ascii="Times New Roman" w:hAnsi="Times New Roman" w:cs="Times New Roman"/>
                <w:color w:val="auto"/>
                <w:sz w:val="24"/>
                <w:highlight w:val="none"/>
                <w:lang w:val="en-US" w:eastAsia="zh-CN"/>
              </w:rPr>
              <w:t>养殖场</w:t>
            </w:r>
            <w:r>
              <w:rPr>
                <w:rFonts w:hint="default" w:ascii="Times New Roman" w:hAnsi="Times New Roman" w:cs="Times New Roman"/>
                <w:color w:val="auto"/>
                <w:sz w:val="24"/>
                <w:highlight w:val="none"/>
                <w:lang w:eastAsia="zh-CN"/>
              </w:rPr>
              <w:t>）</w:t>
            </w:r>
          </w:p>
        </w:tc>
        <w:tc>
          <w:tcPr>
            <w:tcW w:w="4530" w:type="dxa"/>
            <w:noWrap w:val="0"/>
            <w:vAlign w:val="center"/>
          </w:tcPr>
          <w:p w14:paraId="1F0B2D4A">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eastAsia="zh-CN"/>
              </w:rPr>
              <w:t>项目区南侧（</w:t>
            </w:r>
            <w:r>
              <w:rPr>
                <w:rFonts w:hint="default" w:ascii="Times New Roman" w:hAnsi="Times New Roman" w:cs="Times New Roman"/>
                <w:color w:val="auto"/>
                <w:sz w:val="24"/>
                <w:highlight w:val="none"/>
                <w:lang w:val="en-US" w:eastAsia="zh-CN"/>
              </w:rPr>
              <w:t>空地</w:t>
            </w:r>
            <w:r>
              <w:rPr>
                <w:rFonts w:hint="default" w:ascii="Times New Roman" w:hAnsi="Times New Roman" w:cs="Times New Roman"/>
                <w:color w:val="auto"/>
                <w:sz w:val="24"/>
                <w:highlight w:val="none"/>
                <w:lang w:eastAsia="zh-CN"/>
              </w:rPr>
              <w:t>）</w:t>
            </w:r>
          </w:p>
        </w:tc>
      </w:tr>
      <w:tr w14:paraId="79CDF642">
        <w:tblPrEx>
          <w:tblCellMar>
            <w:top w:w="0" w:type="dxa"/>
            <w:left w:w="108" w:type="dxa"/>
            <w:bottom w:w="0" w:type="dxa"/>
            <w:right w:w="108" w:type="dxa"/>
          </w:tblCellMar>
        </w:tblPrEx>
        <w:tc>
          <w:tcPr>
            <w:tcW w:w="4530" w:type="dxa"/>
            <w:noWrap w:val="0"/>
            <w:vAlign w:val="center"/>
          </w:tcPr>
          <w:p w14:paraId="6C0A1A06">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drawing>
                <wp:inline distT="0" distB="0" distL="114300" distR="114300">
                  <wp:extent cx="2736215" cy="2052320"/>
                  <wp:effectExtent l="0" t="0" r="6985" b="5080"/>
                  <wp:docPr id="17" name="图片 17" descr="20251107162037238-51-129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0251107162037238-51-1292899"/>
                          <pic:cNvPicPr>
                            <a:picLocks noChangeAspect="1"/>
                          </pic:cNvPicPr>
                        </pic:nvPicPr>
                        <pic:blipFill>
                          <a:blip r:embed="rId7"/>
                          <a:stretch>
                            <a:fillRect/>
                          </a:stretch>
                        </pic:blipFill>
                        <pic:spPr>
                          <a:xfrm>
                            <a:off x="0" y="0"/>
                            <a:ext cx="2736215" cy="2052320"/>
                          </a:xfrm>
                          <a:prstGeom prst="rect">
                            <a:avLst/>
                          </a:prstGeom>
                        </pic:spPr>
                      </pic:pic>
                    </a:graphicData>
                  </a:graphic>
                </wp:inline>
              </w:drawing>
            </w:r>
          </w:p>
        </w:tc>
        <w:tc>
          <w:tcPr>
            <w:tcW w:w="4530" w:type="dxa"/>
            <w:noWrap w:val="0"/>
            <w:vAlign w:val="center"/>
          </w:tcPr>
          <w:p w14:paraId="1FF373C8">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drawing>
                <wp:inline distT="0" distB="0" distL="114300" distR="114300">
                  <wp:extent cx="2736215" cy="2052320"/>
                  <wp:effectExtent l="0" t="0" r="6985" b="5080"/>
                  <wp:docPr id="16" name="图片 16" descr="20251107162131316-74-117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0251107162131316-74-1170753"/>
                          <pic:cNvPicPr>
                            <a:picLocks noChangeAspect="1"/>
                          </pic:cNvPicPr>
                        </pic:nvPicPr>
                        <pic:blipFill>
                          <a:blip r:embed="rId8"/>
                          <a:stretch>
                            <a:fillRect/>
                          </a:stretch>
                        </pic:blipFill>
                        <pic:spPr>
                          <a:xfrm>
                            <a:off x="0" y="0"/>
                            <a:ext cx="2736215" cy="2052320"/>
                          </a:xfrm>
                          <a:prstGeom prst="rect">
                            <a:avLst/>
                          </a:prstGeom>
                        </pic:spPr>
                      </pic:pic>
                    </a:graphicData>
                  </a:graphic>
                </wp:inline>
              </w:drawing>
            </w:r>
          </w:p>
        </w:tc>
      </w:tr>
      <w:tr w14:paraId="6C0644FE">
        <w:tblPrEx>
          <w:tblCellMar>
            <w:top w:w="0" w:type="dxa"/>
            <w:left w:w="108" w:type="dxa"/>
            <w:bottom w:w="0" w:type="dxa"/>
            <w:right w:w="108" w:type="dxa"/>
          </w:tblCellMar>
        </w:tblPrEx>
        <w:tc>
          <w:tcPr>
            <w:tcW w:w="4530" w:type="dxa"/>
            <w:noWrap w:val="0"/>
            <w:vAlign w:val="center"/>
          </w:tcPr>
          <w:p w14:paraId="687289AD">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eastAsia="zh-CN"/>
              </w:rPr>
              <w:t>项目区西侧（</w:t>
            </w:r>
            <w:r>
              <w:rPr>
                <w:rFonts w:hint="default" w:ascii="Times New Roman" w:hAnsi="Times New Roman" w:cs="Times New Roman"/>
                <w:color w:val="auto"/>
                <w:sz w:val="24"/>
                <w:highlight w:val="none"/>
                <w:lang w:val="en-US" w:eastAsia="zh-CN"/>
              </w:rPr>
              <w:t>铁路线</w:t>
            </w:r>
            <w:r>
              <w:rPr>
                <w:rFonts w:hint="default" w:ascii="Times New Roman" w:hAnsi="Times New Roman" w:cs="Times New Roman"/>
                <w:color w:val="auto"/>
                <w:sz w:val="24"/>
                <w:highlight w:val="none"/>
                <w:lang w:eastAsia="zh-CN"/>
              </w:rPr>
              <w:t>）</w:t>
            </w:r>
          </w:p>
        </w:tc>
        <w:tc>
          <w:tcPr>
            <w:tcW w:w="4530" w:type="dxa"/>
            <w:noWrap w:val="0"/>
            <w:vAlign w:val="center"/>
          </w:tcPr>
          <w:p w14:paraId="33E84E2D">
            <w:pPr>
              <w:shd w:val="clear" w:color="auto" w:fill="auto"/>
              <w:adjustRightInd w:val="0"/>
              <w:snapToGrid w:val="0"/>
              <w:spacing w:line="36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eastAsia="zh-CN"/>
              </w:rPr>
              <w:t>项目区北侧（</w:t>
            </w:r>
            <w:r>
              <w:rPr>
                <w:rFonts w:hint="default" w:ascii="Times New Roman" w:hAnsi="Times New Roman" w:cs="Times New Roman"/>
                <w:color w:val="auto"/>
                <w:sz w:val="24"/>
                <w:highlight w:val="none"/>
                <w:lang w:val="en-US" w:eastAsia="zh-CN"/>
              </w:rPr>
              <w:t>物流公司</w:t>
            </w:r>
            <w:r>
              <w:rPr>
                <w:rFonts w:hint="default" w:ascii="Times New Roman" w:hAnsi="Times New Roman" w:cs="Times New Roman"/>
                <w:color w:val="auto"/>
                <w:sz w:val="24"/>
                <w:highlight w:val="none"/>
                <w:lang w:eastAsia="zh-CN"/>
              </w:rPr>
              <w:t>）</w:t>
            </w:r>
          </w:p>
        </w:tc>
      </w:tr>
      <w:tr w14:paraId="4D60A06D">
        <w:tblPrEx>
          <w:tblCellMar>
            <w:top w:w="0" w:type="dxa"/>
            <w:left w:w="108" w:type="dxa"/>
            <w:bottom w:w="0" w:type="dxa"/>
            <w:right w:w="108" w:type="dxa"/>
          </w:tblCellMar>
        </w:tblPrEx>
        <w:tc>
          <w:tcPr>
            <w:tcW w:w="4530" w:type="dxa"/>
            <w:noWrap w:val="0"/>
            <w:vAlign w:val="center"/>
          </w:tcPr>
          <w:p w14:paraId="5C8DD560">
            <w:pPr>
              <w:shd w:val="clear" w:color="auto" w:fill="auto"/>
              <w:adjustRightInd w:val="0"/>
              <w:snapToGrid w:val="0"/>
              <w:spacing w:line="360" w:lineRule="auto"/>
              <w:jc w:val="center"/>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drawing>
                <wp:inline distT="0" distB="0" distL="114300" distR="114300">
                  <wp:extent cx="2736215" cy="2052320"/>
                  <wp:effectExtent l="0" t="0" r="6985" b="5080"/>
                  <wp:docPr id="18" name="图片 18" descr="20251107162244480-26-131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0251107162244480-26-1311146"/>
                          <pic:cNvPicPr>
                            <a:picLocks noChangeAspect="1"/>
                          </pic:cNvPicPr>
                        </pic:nvPicPr>
                        <pic:blipFill>
                          <a:blip r:embed="rId9"/>
                          <a:stretch>
                            <a:fillRect/>
                          </a:stretch>
                        </pic:blipFill>
                        <pic:spPr>
                          <a:xfrm>
                            <a:off x="0" y="0"/>
                            <a:ext cx="2736215" cy="2052320"/>
                          </a:xfrm>
                          <a:prstGeom prst="rect">
                            <a:avLst/>
                          </a:prstGeom>
                        </pic:spPr>
                      </pic:pic>
                    </a:graphicData>
                  </a:graphic>
                </wp:inline>
              </w:drawing>
            </w:r>
          </w:p>
        </w:tc>
        <w:tc>
          <w:tcPr>
            <w:tcW w:w="4530" w:type="dxa"/>
            <w:noWrap w:val="0"/>
            <w:vAlign w:val="center"/>
          </w:tcPr>
          <w:p w14:paraId="484C25E5">
            <w:pPr>
              <w:shd w:val="clear" w:color="auto" w:fill="auto"/>
              <w:adjustRightInd w:val="0"/>
              <w:snapToGrid w:val="0"/>
              <w:spacing w:line="360" w:lineRule="auto"/>
              <w:jc w:val="center"/>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drawing>
                <wp:inline distT="0" distB="0" distL="114300" distR="114300">
                  <wp:extent cx="2736215" cy="2052320"/>
                  <wp:effectExtent l="0" t="0" r="6985" b="5080"/>
                  <wp:docPr id="19" name="图片 19" descr="20251107162052589-96-125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0251107162052589-96-1253114"/>
                          <pic:cNvPicPr>
                            <a:picLocks noChangeAspect="1"/>
                          </pic:cNvPicPr>
                        </pic:nvPicPr>
                        <pic:blipFill>
                          <a:blip r:embed="rId10"/>
                          <a:stretch>
                            <a:fillRect/>
                          </a:stretch>
                        </pic:blipFill>
                        <pic:spPr>
                          <a:xfrm>
                            <a:off x="0" y="0"/>
                            <a:ext cx="2736215" cy="2052320"/>
                          </a:xfrm>
                          <a:prstGeom prst="rect">
                            <a:avLst/>
                          </a:prstGeom>
                        </pic:spPr>
                      </pic:pic>
                    </a:graphicData>
                  </a:graphic>
                </wp:inline>
              </w:drawing>
            </w:r>
          </w:p>
        </w:tc>
      </w:tr>
      <w:tr w14:paraId="31526525">
        <w:tblPrEx>
          <w:tblCellMar>
            <w:top w:w="0" w:type="dxa"/>
            <w:left w:w="108" w:type="dxa"/>
            <w:bottom w:w="0" w:type="dxa"/>
            <w:right w:w="108" w:type="dxa"/>
          </w:tblCellMar>
        </w:tblPrEx>
        <w:tc>
          <w:tcPr>
            <w:tcW w:w="4530" w:type="dxa"/>
            <w:noWrap w:val="0"/>
            <w:vAlign w:val="center"/>
          </w:tcPr>
          <w:p w14:paraId="35728E3C">
            <w:pPr>
              <w:shd w:val="clear" w:color="auto" w:fill="auto"/>
              <w:adjustRightInd w:val="0"/>
              <w:snapToGrid w:val="0"/>
              <w:spacing w:line="360" w:lineRule="auto"/>
              <w:jc w:val="center"/>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项目区现状</w:t>
            </w:r>
          </w:p>
        </w:tc>
        <w:tc>
          <w:tcPr>
            <w:tcW w:w="4530" w:type="dxa"/>
            <w:noWrap w:val="0"/>
            <w:vAlign w:val="center"/>
          </w:tcPr>
          <w:p w14:paraId="30645DEC">
            <w:pPr>
              <w:shd w:val="clear" w:color="auto" w:fill="auto"/>
              <w:adjustRightInd w:val="0"/>
              <w:snapToGrid w:val="0"/>
              <w:spacing w:line="360" w:lineRule="auto"/>
              <w:jc w:val="center"/>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项目区现状</w:t>
            </w:r>
          </w:p>
        </w:tc>
      </w:tr>
    </w:tbl>
    <w:p w14:paraId="68DC722C">
      <w:pPr>
        <w:shd w:val="clear" w:color="auto" w:fill="auto"/>
        <w:adjustRightInd w:val="0"/>
        <w:snapToGrid w:val="0"/>
        <w:spacing w:line="288" w:lineRule="auto"/>
        <w:rPr>
          <w:rFonts w:hint="default" w:ascii="Times New Roman" w:hAnsi="Times New Roman" w:cs="Times New Roman"/>
          <w:color w:val="auto"/>
          <w:sz w:val="36"/>
          <w:szCs w:val="36"/>
          <w:highlight w:val="none"/>
        </w:rPr>
      </w:pPr>
    </w:p>
    <w:p w14:paraId="75B2524C">
      <w:pPr>
        <w:shd w:val="clear" w:color="auto" w:fill="auto"/>
        <w:adjustRightInd w:val="0"/>
        <w:snapToGrid w:val="0"/>
        <w:spacing w:line="288" w:lineRule="auto"/>
        <w:jc w:val="center"/>
        <w:rPr>
          <w:rFonts w:hint="default" w:ascii="Times New Roman" w:hAnsi="Times New Roman" w:cs="Times New Roman"/>
          <w:color w:val="auto"/>
          <w:sz w:val="36"/>
          <w:szCs w:val="36"/>
          <w:highlight w:val="none"/>
        </w:rPr>
        <w:sectPr>
          <w:pgSz w:w="11906" w:h="16838"/>
          <w:pgMar w:top="1701" w:right="1531" w:bottom="1701" w:left="1531" w:header="851" w:footer="1077" w:gutter="0"/>
          <w:pgNumType w:start="3"/>
          <w:cols w:space="720" w:num="1"/>
          <w:docGrid w:linePitch="312" w:charSpace="0"/>
        </w:sectPr>
      </w:pPr>
      <w:r>
        <w:rPr>
          <w:rFonts w:hint="default" w:ascii="Times New Roman" w:hAnsi="Times New Roman" w:cs="Times New Roman"/>
          <w:b/>
          <w:bCs/>
          <w:color w:val="auto"/>
          <w:sz w:val="32"/>
          <w:szCs w:val="32"/>
          <w:highlight w:val="none"/>
        </w:rPr>
        <w:t>项目区现状照片</w:t>
      </w:r>
    </w:p>
    <w:p w14:paraId="45CE9356">
      <w:pPr>
        <w:pStyle w:val="18"/>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一、建设项目基本情况</w:t>
      </w:r>
    </w:p>
    <w:tbl>
      <w:tblPr>
        <w:tblStyle w:val="19"/>
        <w:tblW w:w="90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6"/>
        <w:gridCol w:w="2192"/>
        <w:gridCol w:w="2153"/>
        <w:gridCol w:w="3172"/>
      </w:tblGrid>
      <w:tr w14:paraId="63020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3117EC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建设项目名称</w:t>
            </w:r>
          </w:p>
        </w:tc>
        <w:tc>
          <w:tcPr>
            <w:tcW w:w="7517" w:type="dxa"/>
            <w:gridSpan w:val="3"/>
            <w:noWrap w:val="0"/>
            <w:vAlign w:val="center"/>
          </w:tcPr>
          <w:p w14:paraId="4B59D2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u w:val="none"/>
                <w:lang w:val="en-US"/>
              </w:rPr>
            </w:pPr>
            <w:r>
              <w:rPr>
                <w:rFonts w:hint="default" w:ascii="Times New Roman" w:hAnsi="Times New Roman" w:cs="Times New Roman"/>
                <w:color w:val="auto"/>
                <w:sz w:val="24"/>
                <w:szCs w:val="24"/>
                <w:highlight w:val="none"/>
                <w:lang w:val="en-US" w:eastAsia="zh-CN"/>
              </w:rPr>
              <w:t>第七师129团玉米烘干厂建设项目</w:t>
            </w:r>
          </w:p>
        </w:tc>
      </w:tr>
      <w:tr w14:paraId="2E5F6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097D70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项目代码</w:t>
            </w:r>
          </w:p>
        </w:tc>
        <w:tc>
          <w:tcPr>
            <w:tcW w:w="7517" w:type="dxa"/>
            <w:gridSpan w:val="3"/>
            <w:noWrap w:val="0"/>
            <w:vAlign w:val="center"/>
          </w:tcPr>
          <w:p w14:paraId="7F5728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2504-660707-04-01-689955</w:t>
            </w:r>
          </w:p>
        </w:tc>
      </w:tr>
      <w:tr w14:paraId="67B3D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770E51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建设单位联系人</w:t>
            </w:r>
          </w:p>
        </w:tc>
        <w:tc>
          <w:tcPr>
            <w:tcW w:w="2192" w:type="dxa"/>
            <w:noWrap w:val="0"/>
            <w:vAlign w:val="center"/>
          </w:tcPr>
          <w:p w14:paraId="24ABFD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u w:val="none"/>
                <w:vertAlign w:val="baseline"/>
                <w:lang w:val="en-US" w:eastAsia="zh-CN"/>
              </w:rPr>
              <w:t>秦超</w:t>
            </w:r>
          </w:p>
        </w:tc>
        <w:tc>
          <w:tcPr>
            <w:tcW w:w="2153" w:type="dxa"/>
            <w:noWrap w:val="0"/>
            <w:vAlign w:val="center"/>
          </w:tcPr>
          <w:p w14:paraId="2993CB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3172" w:type="dxa"/>
            <w:noWrap w:val="0"/>
            <w:vAlign w:val="center"/>
          </w:tcPr>
          <w:p w14:paraId="1CB643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u w:val="none"/>
                <w:vertAlign w:val="baseline"/>
                <w:lang w:val="en-US" w:eastAsia="zh-CN"/>
              </w:rPr>
              <w:t>15094183216</w:t>
            </w:r>
          </w:p>
        </w:tc>
      </w:tr>
      <w:tr w14:paraId="465ED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730B20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建设地点</w:t>
            </w:r>
          </w:p>
        </w:tc>
        <w:tc>
          <w:tcPr>
            <w:tcW w:w="7517" w:type="dxa"/>
            <w:gridSpan w:val="3"/>
            <w:noWrap w:val="0"/>
            <w:vAlign w:val="center"/>
          </w:tcPr>
          <w:p w14:paraId="77F10A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第七师胡杨河市129团奎车公路以北、东羊场以东</w:t>
            </w:r>
          </w:p>
        </w:tc>
      </w:tr>
      <w:tr w14:paraId="325C4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1F1C17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地理坐标</w:t>
            </w:r>
          </w:p>
        </w:tc>
        <w:tc>
          <w:tcPr>
            <w:tcW w:w="7517" w:type="dxa"/>
            <w:gridSpan w:val="3"/>
            <w:noWrap w:val="0"/>
            <w:vAlign w:val="center"/>
          </w:tcPr>
          <w:p w14:paraId="0EA475E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E84°49′10.094″</w:t>
            </w:r>
            <w:r>
              <w:rPr>
                <w:rFonts w:hint="default"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sz w:val="24"/>
                <w:szCs w:val="24"/>
                <w:highlight w:val="none"/>
              </w:rPr>
              <w:t>N44°52′20.660″</w:t>
            </w:r>
          </w:p>
        </w:tc>
      </w:tr>
      <w:tr w14:paraId="43248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644BB7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国民经济</w:t>
            </w:r>
          </w:p>
          <w:p w14:paraId="23AB15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p>
        </w:tc>
        <w:tc>
          <w:tcPr>
            <w:tcW w:w="2192" w:type="dxa"/>
            <w:noWrap w:val="0"/>
            <w:vAlign w:val="center"/>
          </w:tcPr>
          <w:p w14:paraId="7453F9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A0514农产品初加工活动、D4430热力生产和供应</w:t>
            </w:r>
          </w:p>
        </w:tc>
        <w:tc>
          <w:tcPr>
            <w:tcW w:w="2153" w:type="dxa"/>
            <w:noWrap w:val="0"/>
            <w:vAlign w:val="center"/>
          </w:tcPr>
          <w:p w14:paraId="7EA33A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bookmarkStart w:id="1" w:name="_Hlk49843745"/>
            <w:r>
              <w:rPr>
                <w:rFonts w:hint="default" w:ascii="Times New Roman" w:hAnsi="Times New Roman" w:cs="Times New Roman"/>
                <w:color w:val="auto"/>
                <w:sz w:val="24"/>
                <w:szCs w:val="24"/>
                <w:highlight w:val="none"/>
              </w:rPr>
              <w:t>建设项目</w:t>
            </w:r>
          </w:p>
          <w:p w14:paraId="28C286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1"/>
          </w:p>
        </w:tc>
        <w:tc>
          <w:tcPr>
            <w:tcW w:w="3172" w:type="dxa"/>
            <w:noWrap w:val="0"/>
            <w:vAlign w:val="center"/>
          </w:tcPr>
          <w:p w14:paraId="4A0918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四十一、电力、热力生产和供应业91热力生产和供应工程/使用其他高污染燃料</w:t>
            </w:r>
          </w:p>
          <w:p w14:paraId="5EFDF6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的</w:t>
            </w:r>
          </w:p>
        </w:tc>
      </w:tr>
      <w:tr w14:paraId="5A016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104E59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建设性质</w:t>
            </w:r>
          </w:p>
        </w:tc>
        <w:tc>
          <w:tcPr>
            <w:tcW w:w="2192" w:type="dxa"/>
            <w:shd w:val="clear" w:color="auto" w:fill="auto"/>
            <w:noWrap w:val="0"/>
            <w:vAlign w:val="center"/>
          </w:tcPr>
          <w:p w14:paraId="3E58BD21">
            <w:pPr>
              <w:jc w:val="left"/>
              <w:rPr>
                <w:rFonts w:hint="default" w:ascii="Times New Roman" w:hAnsi="Times New Roman" w:eastAsia="宋体" w:cs="Times New Roman"/>
                <w:b w:val="0"/>
                <w:bCs/>
                <w:color w:val="auto"/>
                <w:sz w:val="24"/>
                <w:szCs w:val="24"/>
                <w:highlight w:val="none"/>
              </w:rPr>
            </w:pPr>
            <w:r>
              <w:rPr>
                <w:rFonts w:hint="eastAsia"/>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新建（迁建）</w:t>
            </w:r>
          </w:p>
          <w:p w14:paraId="307143A6">
            <w:pPr>
              <w:jc w:val="left"/>
              <w:rPr>
                <w:rFonts w:hint="default" w:ascii="Times New Roman" w:hAnsi="Times New Roman" w:eastAsia="宋体" w:cs="Times New Roman"/>
                <w:b w:val="0"/>
                <w:bCs/>
                <w:color w:val="auto"/>
                <w:sz w:val="24"/>
                <w:szCs w:val="24"/>
                <w:highlight w:val="none"/>
              </w:rPr>
            </w:pPr>
            <w:r>
              <w:rPr>
                <w:rFonts w:hint="eastAsia"/>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改建</w:t>
            </w:r>
          </w:p>
          <w:p w14:paraId="73AB5D73">
            <w:pPr>
              <w:jc w:val="left"/>
              <w:rPr>
                <w:rFonts w:hint="default"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扩建</w:t>
            </w:r>
          </w:p>
          <w:p w14:paraId="67C121BA">
            <w:pPr>
              <w:jc w:val="left"/>
              <w:rPr>
                <w:rFonts w:hint="default"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技术改造</w:t>
            </w:r>
          </w:p>
        </w:tc>
        <w:tc>
          <w:tcPr>
            <w:tcW w:w="2153" w:type="dxa"/>
            <w:shd w:val="clear" w:color="auto" w:fill="auto"/>
            <w:noWrap w:val="0"/>
            <w:vAlign w:val="center"/>
          </w:tcPr>
          <w:p w14:paraId="71BCE222">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建设项目</w:t>
            </w:r>
          </w:p>
          <w:p w14:paraId="4919C9EA">
            <w:pPr>
              <w:adjustRightInd w:val="0"/>
              <w:snapToGrid w:val="0"/>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sz w:val="24"/>
                <w:szCs w:val="24"/>
                <w:highlight w:val="none"/>
              </w:rPr>
              <w:t>申报情形</w:t>
            </w:r>
          </w:p>
        </w:tc>
        <w:tc>
          <w:tcPr>
            <w:tcW w:w="3172" w:type="dxa"/>
            <w:shd w:val="clear" w:color="auto" w:fill="auto"/>
            <w:noWrap w:val="0"/>
            <w:vAlign w:val="center"/>
          </w:tcPr>
          <w:p w14:paraId="1C70AFF8">
            <w:pPr>
              <w:jc w:val="left"/>
              <w:rPr>
                <w:rFonts w:hint="default" w:ascii="Times New Roman" w:hAnsi="Times New Roman" w:eastAsia="宋体" w:cs="Times New Roman"/>
                <w:b w:val="0"/>
                <w:bCs/>
                <w:color w:val="auto"/>
                <w:sz w:val="24"/>
                <w:szCs w:val="24"/>
                <w:highlight w:val="none"/>
              </w:rPr>
            </w:pPr>
            <w:r>
              <w:rPr>
                <w:rFonts w:hint="eastAsia"/>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 xml:space="preserve">首次申报项目             </w:t>
            </w:r>
          </w:p>
          <w:p w14:paraId="1165D9A7">
            <w:pPr>
              <w:jc w:val="left"/>
              <w:rPr>
                <w:rFonts w:hint="default"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不予批准后再次申报项目</w:t>
            </w:r>
          </w:p>
          <w:p w14:paraId="32A18264">
            <w:pPr>
              <w:jc w:val="left"/>
              <w:rPr>
                <w:rFonts w:hint="default"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 xml:space="preserve">超五年重新审核项目     </w:t>
            </w:r>
          </w:p>
          <w:p w14:paraId="65CA9F35">
            <w:pPr>
              <w:jc w:val="left"/>
              <w:rPr>
                <w:rFonts w:hint="default"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重大变动重新报批项目</w:t>
            </w:r>
          </w:p>
        </w:tc>
      </w:tr>
      <w:tr w14:paraId="24CE3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03CE27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项目审批（核准/备案）部门（选填）</w:t>
            </w:r>
          </w:p>
        </w:tc>
        <w:tc>
          <w:tcPr>
            <w:tcW w:w="2192" w:type="dxa"/>
            <w:noWrap w:val="0"/>
            <w:vAlign w:val="center"/>
          </w:tcPr>
          <w:p w14:paraId="23C805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新疆生产建设兵团第七师一二九团经济发展办公室</w:t>
            </w:r>
          </w:p>
        </w:tc>
        <w:tc>
          <w:tcPr>
            <w:tcW w:w="2153" w:type="dxa"/>
            <w:noWrap w:val="0"/>
            <w:vAlign w:val="center"/>
          </w:tcPr>
          <w:p w14:paraId="2A0FF7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项目审批（核准/备案）文号（选填）</w:t>
            </w:r>
          </w:p>
        </w:tc>
        <w:tc>
          <w:tcPr>
            <w:tcW w:w="3172" w:type="dxa"/>
            <w:noWrap w:val="0"/>
            <w:vAlign w:val="center"/>
          </w:tcPr>
          <w:p w14:paraId="5961F1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129团经发办备</w:t>
            </w:r>
            <w:r>
              <w:rPr>
                <w:rFonts w:hint="default" w:ascii="Times New Roman" w:hAnsi="Times New Roman" w:eastAsia="微软雅黑" w:cs="Times New Roman"/>
                <w:color w:val="auto"/>
                <w:sz w:val="24"/>
                <w:szCs w:val="24"/>
                <w:highlight w:val="none"/>
                <w:lang w:eastAsia="zh-CN"/>
              </w:rPr>
              <w:t>〔</w:t>
            </w:r>
            <w:r>
              <w:rPr>
                <w:rFonts w:hint="default" w:ascii="Times New Roman" w:hAnsi="Times New Roman" w:cs="Times New Roman"/>
                <w:color w:val="auto"/>
                <w:sz w:val="24"/>
                <w:szCs w:val="24"/>
                <w:highlight w:val="none"/>
              </w:rPr>
              <w:t>2025</w:t>
            </w:r>
            <w:r>
              <w:rPr>
                <w:rFonts w:hint="default" w:ascii="Times New Roman" w:hAnsi="Times New Roman" w:eastAsia="微软雅黑" w:cs="Times New Roman"/>
                <w:color w:val="auto"/>
                <w:sz w:val="24"/>
                <w:szCs w:val="24"/>
                <w:highlight w:val="none"/>
                <w:lang w:eastAsia="zh-CN"/>
              </w:rPr>
              <w:t>〕</w:t>
            </w:r>
            <w:r>
              <w:rPr>
                <w:rFonts w:hint="default" w:ascii="Times New Roman" w:hAnsi="Times New Roman" w:cs="Times New Roman"/>
                <w:color w:val="auto"/>
                <w:sz w:val="24"/>
                <w:szCs w:val="24"/>
                <w:highlight w:val="none"/>
              </w:rPr>
              <w:t>5号</w:t>
            </w:r>
          </w:p>
        </w:tc>
      </w:tr>
      <w:tr w14:paraId="1E14A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58F5E2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总投资（万元）</w:t>
            </w:r>
          </w:p>
        </w:tc>
        <w:tc>
          <w:tcPr>
            <w:tcW w:w="2192" w:type="dxa"/>
            <w:noWrap w:val="0"/>
            <w:vAlign w:val="center"/>
          </w:tcPr>
          <w:p w14:paraId="5BD646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5000</w:t>
            </w:r>
          </w:p>
        </w:tc>
        <w:tc>
          <w:tcPr>
            <w:tcW w:w="2153" w:type="dxa"/>
            <w:noWrap w:val="0"/>
            <w:tcMar>
              <w:top w:w="16" w:type="dxa"/>
              <w:left w:w="16" w:type="dxa"/>
              <w:right w:w="16" w:type="dxa"/>
            </w:tcMar>
            <w:vAlign w:val="center"/>
          </w:tcPr>
          <w:p w14:paraId="533A63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环保投资（万元）</w:t>
            </w:r>
          </w:p>
        </w:tc>
        <w:tc>
          <w:tcPr>
            <w:tcW w:w="3172" w:type="dxa"/>
            <w:noWrap w:val="0"/>
            <w:vAlign w:val="center"/>
          </w:tcPr>
          <w:p w14:paraId="5FB087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131</w:t>
            </w:r>
          </w:p>
        </w:tc>
      </w:tr>
      <w:tr w14:paraId="33128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38A45E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环保投资占比（%）</w:t>
            </w:r>
          </w:p>
        </w:tc>
        <w:tc>
          <w:tcPr>
            <w:tcW w:w="2192" w:type="dxa"/>
            <w:noWrap w:val="0"/>
            <w:vAlign w:val="center"/>
          </w:tcPr>
          <w:p w14:paraId="71FBA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2.62</w:t>
            </w:r>
          </w:p>
        </w:tc>
        <w:tc>
          <w:tcPr>
            <w:tcW w:w="2153" w:type="dxa"/>
            <w:noWrap w:val="0"/>
            <w:tcMar>
              <w:top w:w="16" w:type="dxa"/>
              <w:left w:w="16" w:type="dxa"/>
              <w:right w:w="16" w:type="dxa"/>
            </w:tcMar>
            <w:vAlign w:val="center"/>
          </w:tcPr>
          <w:p w14:paraId="13D671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施工工期</w:t>
            </w:r>
          </w:p>
        </w:tc>
        <w:tc>
          <w:tcPr>
            <w:tcW w:w="3172" w:type="dxa"/>
            <w:noWrap w:val="0"/>
            <w:vAlign w:val="center"/>
          </w:tcPr>
          <w:p w14:paraId="7D6F3C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highlight w:val="none"/>
                <w:lang w:val="en-US" w:eastAsia="zh-CN"/>
              </w:rPr>
              <w:t>3个月</w:t>
            </w:r>
          </w:p>
        </w:tc>
      </w:tr>
      <w:tr w14:paraId="38520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36" w:type="dxa"/>
            <w:noWrap w:val="0"/>
            <w:tcMar>
              <w:top w:w="16" w:type="dxa"/>
              <w:left w:w="16" w:type="dxa"/>
              <w:right w:w="16" w:type="dxa"/>
            </w:tcMar>
            <w:vAlign w:val="center"/>
          </w:tcPr>
          <w:p w14:paraId="292FF2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是否开工建设</w:t>
            </w:r>
          </w:p>
        </w:tc>
        <w:tc>
          <w:tcPr>
            <w:tcW w:w="2192" w:type="dxa"/>
            <w:noWrap w:val="0"/>
            <w:vAlign w:val="center"/>
          </w:tcPr>
          <w:p w14:paraId="5893B235">
            <w:pPr>
              <w:adjustRightInd w:val="0"/>
              <w:snapToGrid w:val="0"/>
              <w:rPr>
                <w:rFonts w:hint="default" w:ascii="Times New Roman" w:hAnsi="Times New Roman" w:eastAsia="宋体" w:cs="Times New Roman"/>
                <w:b w:val="0"/>
                <w:bCs/>
                <w:color w:val="auto"/>
                <w:sz w:val="24"/>
                <w:szCs w:val="24"/>
                <w:highlight w:val="none"/>
              </w:rPr>
            </w:pPr>
            <w:r>
              <w:rPr>
                <w:rFonts w:hint="eastAsia"/>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否</w:t>
            </w:r>
          </w:p>
          <w:p w14:paraId="6B5DD0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是</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该项目已于2025年10月30日建成，但尚未投入运行。</w:t>
            </w:r>
          </w:p>
        </w:tc>
        <w:tc>
          <w:tcPr>
            <w:tcW w:w="2153" w:type="dxa"/>
            <w:noWrap w:val="0"/>
            <w:tcMar>
              <w:top w:w="16" w:type="dxa"/>
              <w:left w:w="16" w:type="dxa"/>
              <w:right w:w="16" w:type="dxa"/>
            </w:tcMar>
            <w:vAlign w:val="center"/>
          </w:tcPr>
          <w:p w14:paraId="6425A0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6"/>
                <w:sz w:val="24"/>
                <w:szCs w:val="24"/>
                <w:highlight w:val="none"/>
              </w:rPr>
              <w:t>用地（用海）面积（m</w:t>
            </w:r>
            <w:r>
              <w:rPr>
                <w:rFonts w:hint="default" w:ascii="Times New Roman" w:hAnsi="Times New Roman" w:cs="Times New Roman"/>
                <w:color w:val="auto"/>
                <w:spacing w:val="-6"/>
                <w:sz w:val="24"/>
                <w:szCs w:val="24"/>
                <w:highlight w:val="none"/>
                <w:vertAlign w:val="superscript"/>
              </w:rPr>
              <w:t>2</w:t>
            </w:r>
            <w:r>
              <w:rPr>
                <w:rFonts w:hint="default" w:ascii="Times New Roman" w:hAnsi="Times New Roman" w:cs="Times New Roman"/>
                <w:color w:val="auto"/>
                <w:spacing w:val="-6"/>
                <w:sz w:val="24"/>
                <w:szCs w:val="24"/>
                <w:highlight w:val="none"/>
              </w:rPr>
              <w:t>）</w:t>
            </w:r>
          </w:p>
        </w:tc>
        <w:tc>
          <w:tcPr>
            <w:tcW w:w="3172" w:type="dxa"/>
            <w:noWrap w:val="0"/>
            <w:vAlign w:val="center"/>
          </w:tcPr>
          <w:p w14:paraId="3478BB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20003.73</w:t>
            </w:r>
          </w:p>
        </w:tc>
      </w:tr>
      <w:tr w14:paraId="31787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536" w:type="dxa"/>
            <w:noWrap w:val="0"/>
            <w:vAlign w:val="center"/>
          </w:tcPr>
          <w:p w14:paraId="56E38010">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专项评价设置情况</w:t>
            </w:r>
          </w:p>
        </w:tc>
        <w:tc>
          <w:tcPr>
            <w:tcW w:w="7517" w:type="dxa"/>
            <w:gridSpan w:val="3"/>
            <w:noWrap w:val="0"/>
            <w:vAlign w:val="center"/>
          </w:tcPr>
          <w:p w14:paraId="00F4C2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根据《建设项目环境影响报告表编制技术指南（</w:t>
            </w:r>
            <w:r>
              <w:rPr>
                <w:rFonts w:hint="default" w:ascii="Times New Roman" w:hAnsi="Times New Roman" w:cs="Times New Roman"/>
                <w:color w:val="auto"/>
                <w:sz w:val="24"/>
                <w:szCs w:val="24"/>
                <w:highlight w:val="none"/>
                <w:lang w:val="en-US" w:eastAsia="zh-CN"/>
              </w:rPr>
              <w:t>污染</w:t>
            </w:r>
            <w:r>
              <w:rPr>
                <w:rFonts w:hint="default" w:ascii="Times New Roman" w:hAnsi="Times New Roman" w:cs="Times New Roman"/>
                <w:color w:val="auto"/>
                <w:sz w:val="24"/>
                <w:szCs w:val="24"/>
                <w:highlight w:val="none"/>
              </w:rPr>
              <w:t>影响类）（试行）》中专项评价设置原则表：</w:t>
            </w:r>
          </w:p>
          <w:p w14:paraId="75EBB545">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 xml:space="preserve">1-1   </w:t>
            </w:r>
            <w:r>
              <w:rPr>
                <w:rFonts w:hint="default" w:ascii="Times New Roman" w:hAnsi="Times New Roman" w:cs="Times New Roman"/>
                <w:b/>
                <w:bCs/>
                <w:color w:val="auto"/>
                <w:sz w:val="21"/>
                <w:szCs w:val="21"/>
                <w:highlight w:val="none"/>
              </w:rPr>
              <w:t>专项评价设置原则对照表</w:t>
            </w:r>
          </w:p>
          <w:tbl>
            <w:tblPr>
              <w:tblStyle w:val="20"/>
              <w:tblW w:w="490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217"/>
              <w:gridCol w:w="3026"/>
            </w:tblGrid>
            <w:tr w14:paraId="0EB343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7B5BC27E">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b/>
                      <w:bCs/>
                      <w:color w:val="auto"/>
                      <w:sz w:val="21"/>
                      <w:szCs w:val="21"/>
                      <w:highlight w:val="none"/>
                      <w:lang w:val="en-US" w:eastAsia="en-US"/>
                    </w:rPr>
                  </w:pPr>
                  <w:r>
                    <w:rPr>
                      <w:rFonts w:hint="default" w:ascii="Times New Roman" w:hAnsi="Times New Roman" w:eastAsia="宋体" w:cs="Times New Roman"/>
                      <w:b/>
                      <w:bCs/>
                      <w:color w:val="auto"/>
                      <w:sz w:val="21"/>
                      <w:szCs w:val="21"/>
                      <w:highlight w:val="none"/>
                      <w:lang w:val="en-US" w:eastAsia="zh-CN"/>
                    </w:rPr>
                    <w:t>类别</w:t>
                  </w:r>
                </w:p>
              </w:tc>
              <w:tc>
                <w:tcPr>
                  <w:tcW w:w="2244" w:type="pct"/>
                  <w:noWrap w:val="0"/>
                  <w:vAlign w:val="center"/>
                </w:tcPr>
                <w:p w14:paraId="0811022E">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b/>
                      <w:bCs/>
                      <w:color w:val="auto"/>
                      <w:sz w:val="21"/>
                      <w:szCs w:val="21"/>
                      <w:highlight w:val="none"/>
                      <w:lang w:val="en-US" w:eastAsia="en-US"/>
                    </w:rPr>
                  </w:pPr>
                  <w:r>
                    <w:rPr>
                      <w:rFonts w:hint="default" w:ascii="Times New Roman" w:hAnsi="Times New Roman" w:eastAsia="宋体" w:cs="Times New Roman"/>
                      <w:b/>
                      <w:bCs/>
                      <w:color w:val="auto"/>
                      <w:sz w:val="21"/>
                      <w:szCs w:val="21"/>
                      <w:highlight w:val="none"/>
                      <w:lang w:val="en-US" w:eastAsia="zh-CN"/>
                    </w:rPr>
                    <w:t>设置原则</w:t>
                  </w:r>
                </w:p>
              </w:tc>
              <w:tc>
                <w:tcPr>
                  <w:tcW w:w="2110" w:type="pct"/>
                  <w:noWrap w:val="0"/>
                  <w:vAlign w:val="center"/>
                </w:tcPr>
                <w:p w14:paraId="5986D5AA">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b/>
                      <w:bCs/>
                      <w:color w:val="auto"/>
                      <w:sz w:val="21"/>
                      <w:szCs w:val="21"/>
                      <w:highlight w:val="none"/>
                      <w:lang w:val="en-US" w:eastAsia="en-US"/>
                    </w:rPr>
                  </w:pPr>
                  <w:r>
                    <w:rPr>
                      <w:rFonts w:hint="default" w:ascii="Times New Roman" w:hAnsi="Times New Roman" w:eastAsia="宋体" w:cs="Times New Roman"/>
                      <w:b/>
                      <w:bCs/>
                      <w:color w:val="auto"/>
                      <w:sz w:val="21"/>
                      <w:szCs w:val="21"/>
                      <w:highlight w:val="none"/>
                      <w:lang w:val="en-US" w:eastAsia="zh-CN"/>
                    </w:rPr>
                    <w:t>项目情况对照</w:t>
                  </w:r>
                </w:p>
              </w:tc>
            </w:tr>
            <w:tr w14:paraId="7D8F7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4AE51E74">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大气</w:t>
                  </w:r>
                </w:p>
              </w:tc>
              <w:tc>
                <w:tcPr>
                  <w:tcW w:w="2244" w:type="pct"/>
                  <w:noWrap w:val="0"/>
                  <w:vAlign w:val="center"/>
                </w:tcPr>
                <w:p w14:paraId="448DB067">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排放废气含有毒有害污染物1、二噁英、苯并[a]芘、氰化物、氯气且厂界外500米范围内有环境空气保护目标2的建设项目</w:t>
                  </w:r>
                </w:p>
              </w:tc>
              <w:tc>
                <w:tcPr>
                  <w:tcW w:w="2110" w:type="pct"/>
                  <w:noWrap w:val="0"/>
                  <w:vAlign w:val="center"/>
                </w:tcPr>
                <w:p w14:paraId="25FFFBC5">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项目不排放《有毒有害大气污染物名录》中的有毒有害污染物，不设大气专项评价。</w:t>
                  </w:r>
                </w:p>
              </w:tc>
            </w:tr>
            <w:tr w14:paraId="3EF8C4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5BCD2832">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地表水</w:t>
                  </w:r>
                </w:p>
              </w:tc>
              <w:tc>
                <w:tcPr>
                  <w:tcW w:w="2244" w:type="pct"/>
                  <w:noWrap w:val="0"/>
                  <w:vAlign w:val="center"/>
                </w:tcPr>
                <w:p w14:paraId="44D065DC">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新增工业废水直排建设项目（槽罐车外送污水处理厂的除外）；新增废水直排的污水集中处理厂</w:t>
                  </w:r>
                </w:p>
              </w:tc>
              <w:tc>
                <w:tcPr>
                  <w:tcW w:w="2110" w:type="pct"/>
                  <w:noWrap w:val="0"/>
                  <w:vAlign w:val="center"/>
                </w:tcPr>
                <w:p w14:paraId="66368F09">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项目无生产废水产生，仅员工生活污水，经厂内化粪池收集后拉运处理。</w:t>
                  </w:r>
                </w:p>
              </w:tc>
            </w:tr>
            <w:tr w14:paraId="4B396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36347B70">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环境风险</w:t>
                  </w:r>
                </w:p>
              </w:tc>
              <w:tc>
                <w:tcPr>
                  <w:tcW w:w="2244" w:type="pct"/>
                  <w:noWrap w:val="0"/>
                  <w:vAlign w:val="center"/>
                </w:tcPr>
                <w:p w14:paraId="4308EE68">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有毒有害和易燃易爆危险物质存储量超过临界量3的建设项目</w:t>
                  </w:r>
                </w:p>
              </w:tc>
              <w:tc>
                <w:tcPr>
                  <w:tcW w:w="2110" w:type="pct"/>
                  <w:noWrap w:val="0"/>
                  <w:vAlign w:val="center"/>
                </w:tcPr>
                <w:p w14:paraId="4FD91908">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本项目环境风险物质为废机油，最大储存量未超过临界量</w:t>
                  </w:r>
                </w:p>
              </w:tc>
            </w:tr>
            <w:tr w14:paraId="58DD4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2A0FD1C9">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生态</w:t>
                  </w:r>
                </w:p>
              </w:tc>
              <w:tc>
                <w:tcPr>
                  <w:tcW w:w="2244" w:type="pct"/>
                  <w:noWrap w:val="0"/>
                  <w:vAlign w:val="center"/>
                </w:tcPr>
                <w:p w14:paraId="12311D3F">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取水口下游500米范围内有重要水生生物的自然产卵场、索饵场、越冬场和洄游通道的新增河道取水的污染类建设项目</w:t>
                  </w:r>
                </w:p>
              </w:tc>
              <w:tc>
                <w:tcPr>
                  <w:tcW w:w="2110" w:type="pct"/>
                  <w:noWrap w:val="0"/>
                  <w:vAlign w:val="center"/>
                </w:tcPr>
                <w:p w14:paraId="786E7415">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项目不涉及河道取水，不设生态专项评价。</w:t>
                  </w:r>
                </w:p>
              </w:tc>
            </w:tr>
            <w:tr w14:paraId="66DB7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0"/>
                  <w:vAlign w:val="center"/>
                </w:tcPr>
                <w:p w14:paraId="7ADE5351">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海洋</w:t>
                  </w:r>
                </w:p>
              </w:tc>
              <w:tc>
                <w:tcPr>
                  <w:tcW w:w="2244" w:type="pct"/>
                  <w:noWrap w:val="0"/>
                  <w:vAlign w:val="center"/>
                </w:tcPr>
                <w:p w14:paraId="3E1604D7">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直接向海排放污染物的海洋工程建设项目</w:t>
                  </w:r>
                </w:p>
              </w:tc>
              <w:tc>
                <w:tcPr>
                  <w:tcW w:w="2110" w:type="pct"/>
                  <w:noWrap w:val="0"/>
                  <w:vAlign w:val="center"/>
                </w:tcPr>
                <w:p w14:paraId="3233D34E">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项目不属于海洋工程建设项目，不设海洋专项评价。</w:t>
                  </w:r>
                </w:p>
              </w:tc>
            </w:tr>
            <w:tr w14:paraId="61950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1E6012A8">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注：1.废气中有毒有害污染物指纳入《有毒有害大气污染物名录》的污染物（不包括无排放标准的污染物）。</w:t>
                  </w:r>
                </w:p>
                <w:p w14:paraId="344D3C19">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2.环境空气保护目标指自然保护区、风景名胜区、居住区、文化区和农村地区中人群较集中的区域。</w:t>
                  </w:r>
                </w:p>
                <w:p w14:paraId="6EA4C7A2">
                  <w:pPr>
                    <w:pStyle w:val="43"/>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3.临界量及其计算方法可参考《建设项目环境风险评价技术导则》（HJ169）附录B、附录C。</w:t>
                  </w:r>
                </w:p>
              </w:tc>
            </w:tr>
          </w:tbl>
          <w:p w14:paraId="0D296052">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4"/>
                <w:szCs w:val="24"/>
                <w:highlight w:val="none"/>
                <w:lang w:eastAsia="zh-CN"/>
              </w:rPr>
            </w:pPr>
          </w:p>
        </w:tc>
      </w:tr>
      <w:tr w14:paraId="378E5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36" w:type="dxa"/>
            <w:noWrap w:val="0"/>
            <w:vAlign w:val="center"/>
          </w:tcPr>
          <w:p w14:paraId="078FD614">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规划情况</w:t>
            </w:r>
          </w:p>
        </w:tc>
        <w:tc>
          <w:tcPr>
            <w:tcW w:w="7517" w:type="dxa"/>
            <w:gridSpan w:val="3"/>
            <w:noWrap w:val="0"/>
            <w:vAlign w:val="center"/>
          </w:tcPr>
          <w:p w14:paraId="08AC6E0E">
            <w:pPr>
              <w:keepNext w:val="0"/>
              <w:keepLines w:val="0"/>
              <w:pageBreakBefore w:val="0"/>
              <w:widowControl/>
              <w:suppressLineNumbers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无</w:t>
            </w:r>
          </w:p>
        </w:tc>
      </w:tr>
      <w:tr w14:paraId="32FF8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36" w:type="dxa"/>
            <w:noWrap w:val="0"/>
            <w:vAlign w:val="center"/>
          </w:tcPr>
          <w:p w14:paraId="123F3A06">
            <w:pPr>
              <w:pageBreakBefore w:val="0"/>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规划环境影响评价情况</w:t>
            </w:r>
          </w:p>
        </w:tc>
        <w:tc>
          <w:tcPr>
            <w:tcW w:w="7517" w:type="dxa"/>
            <w:gridSpan w:val="3"/>
            <w:noWrap w:val="0"/>
            <w:vAlign w:val="center"/>
          </w:tcPr>
          <w:p w14:paraId="1BA3CA2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lang w:val="en-US" w:eastAsia="zh-CN"/>
              </w:rPr>
              <w:t>无</w:t>
            </w:r>
          </w:p>
        </w:tc>
      </w:tr>
      <w:tr w14:paraId="07E1E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536" w:type="dxa"/>
            <w:noWrap w:val="0"/>
            <w:vAlign w:val="center"/>
          </w:tcPr>
          <w:p w14:paraId="0D5CC0D3">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规划及规划环境影响评价符合性分析</w:t>
            </w:r>
          </w:p>
        </w:tc>
        <w:tc>
          <w:tcPr>
            <w:tcW w:w="7517" w:type="dxa"/>
            <w:gridSpan w:val="3"/>
            <w:noWrap w:val="0"/>
            <w:vAlign w:val="center"/>
          </w:tcPr>
          <w:p w14:paraId="69C6C116">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lang w:val="en-US"/>
              </w:rPr>
            </w:pPr>
            <w:r>
              <w:rPr>
                <w:rFonts w:hint="default" w:ascii="Times New Roman" w:hAnsi="Times New Roman" w:cs="Times New Roman"/>
                <w:color w:val="auto"/>
                <w:kern w:val="0"/>
                <w:sz w:val="24"/>
                <w:highlight w:val="none"/>
                <w:lang w:val="en-US" w:eastAsia="zh-CN"/>
              </w:rPr>
              <w:t>无</w:t>
            </w:r>
          </w:p>
        </w:tc>
      </w:tr>
      <w:tr w14:paraId="689BF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6" w:type="dxa"/>
            <w:noWrap w:val="0"/>
            <w:vAlign w:val="center"/>
          </w:tcPr>
          <w:p w14:paraId="22E2A0B3">
            <w:pPr>
              <w:pageBreakBefore w:val="0"/>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其他符合性分析</w:t>
            </w:r>
          </w:p>
        </w:tc>
        <w:tc>
          <w:tcPr>
            <w:tcW w:w="7517" w:type="dxa"/>
            <w:gridSpan w:val="3"/>
            <w:noWrap w:val="0"/>
            <w:vAlign w:val="center"/>
          </w:tcPr>
          <w:p w14:paraId="69D952EB">
            <w:pPr>
              <w:keepNext/>
              <w:keepLines w:val="0"/>
              <w:pageBreakBefore w:val="0"/>
              <w:widowControl w:val="0"/>
              <w:kinsoku/>
              <w:wordWrap/>
              <w:overflowPunct/>
              <w:topLinePunct w:val="0"/>
              <w:bidi w:val="0"/>
              <w:spacing w:line="240" w:lineRule="auto"/>
              <w:jc w:val="left"/>
              <w:textAlignment w:val="auto"/>
              <w:outlineLvl w:val="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1、</w:t>
            </w:r>
            <w:r>
              <w:rPr>
                <w:rFonts w:hint="default" w:ascii="Times New Roman" w:hAnsi="Times New Roman" w:eastAsia="宋体" w:cs="Times New Roman"/>
                <w:b/>
                <w:bCs/>
                <w:color w:val="auto"/>
                <w:kern w:val="2"/>
                <w:sz w:val="24"/>
                <w:szCs w:val="24"/>
                <w:highlight w:val="none"/>
                <w:lang w:val="en-US" w:eastAsia="zh-CN" w:bidi="ar-SA"/>
              </w:rPr>
              <w:t>产业政策符合性分析</w:t>
            </w:r>
          </w:p>
          <w:p w14:paraId="6FBDC42A">
            <w:pPr>
              <w:pStyle w:val="8"/>
              <w:numPr>
                <w:ilvl w:val="0"/>
                <w:numId w:val="0"/>
              </w:numPr>
              <w:suppressLineNumbers w:val="0"/>
              <w:spacing w:before="0" w:beforeAutospacing="0" w:after="0" w:afterAutospacing="0" w:line="360" w:lineRule="auto"/>
              <w:ind w:right="0" w:rightChars="0"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根据国家发展和改革委员会发布的《产业结构调整指导目录（20</w:t>
            </w:r>
            <w:r>
              <w:rPr>
                <w:rFonts w:hint="default" w:ascii="Times New Roman" w:hAnsi="Times New Roman" w:cs="Times New Roman"/>
                <w:color w:val="auto"/>
                <w:sz w:val="24"/>
                <w:szCs w:val="24"/>
                <w:highlight w:val="none"/>
                <w:lang w:val="en-US" w:eastAsia="zh-CN"/>
              </w:rPr>
              <w:t>24</w:t>
            </w:r>
            <w:r>
              <w:rPr>
                <w:rFonts w:hint="default" w:ascii="Times New Roman" w:hAnsi="Times New Roman" w:cs="Times New Roman"/>
                <w:color w:val="auto"/>
                <w:sz w:val="24"/>
                <w:szCs w:val="24"/>
                <w:highlight w:val="none"/>
              </w:rPr>
              <w:t>年本）》，本项目</w:t>
            </w:r>
            <w:r>
              <w:rPr>
                <w:rFonts w:hint="default" w:ascii="Times New Roman" w:hAnsi="Times New Roman" w:eastAsia="宋体" w:cs="Times New Roman"/>
                <w:color w:val="auto"/>
                <w:kern w:val="2"/>
                <w:sz w:val="24"/>
                <w:szCs w:val="24"/>
                <w:highlight w:val="none"/>
                <w:lang w:val="en-US" w:eastAsia="zh-CN" w:bidi="ar-SA"/>
              </w:rPr>
              <w:t>属于热力生产和供应业</w:t>
            </w:r>
            <w:r>
              <w:rPr>
                <w:rFonts w:hint="default" w:ascii="Times New Roman" w:hAnsi="Times New Roman" w:cs="Times New Roman"/>
                <w:color w:val="auto"/>
                <w:sz w:val="24"/>
                <w:szCs w:val="24"/>
                <w:highlight w:val="none"/>
              </w:rPr>
              <w:t>，生产规模、生产工艺和产品等均不在“限制类”和“淘汰类”之列。且符合国家有关法律、法规和政策规定的，为“允许类”，因此本项目符合国家的产业政策</w:t>
            </w:r>
            <w:r>
              <w:rPr>
                <w:rFonts w:hint="default" w:ascii="Times New Roman" w:hAnsi="Times New Roman" w:cs="Times New Roman"/>
                <w:color w:val="auto"/>
                <w:sz w:val="24"/>
                <w:szCs w:val="24"/>
                <w:highlight w:val="none"/>
                <w:lang w:eastAsia="zh-CN"/>
              </w:rPr>
              <w:t>。</w:t>
            </w:r>
          </w:p>
          <w:p w14:paraId="7796F13D">
            <w:pPr>
              <w:topLinePunct/>
              <w:spacing w:line="360" w:lineRule="auto"/>
              <w:textAlignment w:val="baseline"/>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val="0"/>
                <w:color w:val="auto"/>
                <w:sz w:val="24"/>
                <w:szCs w:val="24"/>
                <w:highlight w:val="none"/>
                <w:lang w:val="en-US" w:eastAsia="zh-CN"/>
              </w:rPr>
              <w:t>2</w:t>
            </w:r>
            <w:r>
              <w:rPr>
                <w:rFonts w:hint="default" w:ascii="Times New Roman" w:hAnsi="Times New Roman" w:eastAsia="宋体" w:cs="Times New Roman"/>
                <w:b/>
                <w:bCs/>
                <w:color w:val="auto"/>
                <w:kern w:val="2"/>
                <w:sz w:val="24"/>
                <w:szCs w:val="24"/>
                <w:highlight w:val="none"/>
                <w:lang w:val="en-US" w:eastAsia="zh-CN" w:bidi="ar-SA"/>
              </w:rPr>
              <w:t>、与《新疆生产建设兵团“三线一单”生态环境分区管控方案》及《新疆生产建设兵团2023年度生态环境分区管控动态更新成果》符合性分析</w:t>
            </w:r>
          </w:p>
          <w:p w14:paraId="7D3E26AC">
            <w:pPr>
              <w:topLinePunct/>
              <w:spacing w:line="360" w:lineRule="auto"/>
              <w:ind w:firstLine="480" w:firstLineChars="200"/>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2021年4月14日</w:t>
            </w:r>
            <w:r>
              <w:rPr>
                <w:rFonts w:hint="default" w:ascii="Times New Roman" w:hAnsi="Times New Roman" w:eastAsia="宋体" w:cs="Times New Roman"/>
                <w:bCs/>
                <w:snapToGrid w:val="0"/>
                <w:color w:val="auto"/>
                <w:kern w:val="0"/>
                <w:sz w:val="24"/>
                <w:szCs w:val="24"/>
                <w:highlight w:val="none"/>
                <w:lang w:eastAsia="zh-CN"/>
              </w:rPr>
              <w:t>，新疆生产建设兵团办公厅</w:t>
            </w:r>
            <w:r>
              <w:rPr>
                <w:rFonts w:hint="default" w:ascii="Times New Roman" w:hAnsi="Times New Roman" w:eastAsia="宋体" w:cs="Times New Roman"/>
                <w:bCs/>
                <w:snapToGrid w:val="0"/>
                <w:color w:val="auto"/>
                <w:kern w:val="0"/>
                <w:sz w:val="24"/>
                <w:szCs w:val="24"/>
                <w:highlight w:val="none"/>
                <w:lang w:val="en-US" w:eastAsia="zh-CN"/>
              </w:rPr>
              <w:t>印发</w:t>
            </w:r>
            <w:r>
              <w:rPr>
                <w:rFonts w:hint="default" w:ascii="Times New Roman" w:hAnsi="Times New Roman" w:eastAsia="宋体" w:cs="Times New Roman"/>
                <w:bCs/>
                <w:snapToGrid w:val="0"/>
                <w:color w:val="auto"/>
                <w:kern w:val="0"/>
                <w:sz w:val="24"/>
                <w:szCs w:val="24"/>
                <w:highlight w:val="none"/>
              </w:rPr>
              <w:t>《新疆生产建设兵团“三线一单”生态环境分区管控方案》（新兵发〔2021〕16号），本项目与“三线一</w:t>
            </w:r>
            <w:r>
              <w:rPr>
                <w:rFonts w:hint="default" w:ascii="Times New Roman" w:hAnsi="Times New Roman" w:eastAsia="宋体" w:cs="Times New Roman"/>
                <w:bCs/>
                <w:snapToGrid w:val="0"/>
                <w:color w:val="auto"/>
                <w:kern w:val="0"/>
                <w:sz w:val="24"/>
                <w:szCs w:val="24"/>
                <w:highlight w:val="none"/>
                <w:lang w:val="en-US" w:eastAsia="zh-CN"/>
              </w:rPr>
              <w:t>单</w:t>
            </w:r>
            <w:r>
              <w:rPr>
                <w:rFonts w:hint="default" w:ascii="Times New Roman" w:hAnsi="Times New Roman" w:eastAsia="宋体" w:cs="Times New Roman"/>
                <w:bCs/>
                <w:snapToGrid w:val="0"/>
                <w:color w:val="auto"/>
                <w:kern w:val="0"/>
                <w:sz w:val="24"/>
                <w:szCs w:val="24"/>
                <w:highlight w:val="none"/>
              </w:rPr>
              <w:t>”符合性分析见表</w:t>
            </w:r>
            <w:r>
              <w:rPr>
                <w:rFonts w:hint="default" w:ascii="Times New Roman" w:hAnsi="Times New Roman" w:eastAsia="宋体" w:cs="Times New Roman"/>
                <w:bCs/>
                <w:snapToGrid w:val="0"/>
                <w:color w:val="auto"/>
                <w:kern w:val="0"/>
                <w:sz w:val="24"/>
                <w:szCs w:val="24"/>
                <w:highlight w:val="none"/>
                <w:lang w:val="en-US" w:eastAsia="zh-CN"/>
              </w:rPr>
              <w:t>1-2</w:t>
            </w:r>
            <w:r>
              <w:rPr>
                <w:rFonts w:hint="default" w:ascii="Times New Roman" w:hAnsi="Times New Roman" w:eastAsia="宋体" w:cs="Times New Roman"/>
                <w:bCs/>
                <w:snapToGrid w:val="0"/>
                <w:color w:val="auto"/>
                <w:kern w:val="0"/>
                <w:sz w:val="24"/>
                <w:szCs w:val="24"/>
                <w:highlight w:val="none"/>
              </w:rPr>
              <w:t>：</w:t>
            </w:r>
          </w:p>
          <w:p w14:paraId="6024406D">
            <w:pPr>
              <w:adjustRightInd w:val="0"/>
              <w:snapToGrid w:val="0"/>
              <w:jc w:val="center"/>
              <w:rPr>
                <w:rFonts w:hint="default" w:ascii="Times New Roman" w:hAnsi="Times New Roman" w:cs="Times New Roman"/>
                <w:b/>
                <w:bCs/>
                <w:color w:val="auto"/>
                <w:sz w:val="21"/>
                <w:szCs w:val="21"/>
                <w:highlight w:val="none"/>
              </w:rPr>
            </w:pPr>
          </w:p>
          <w:p w14:paraId="4027D3E5">
            <w:pPr>
              <w:adjustRightInd w:val="0"/>
              <w:snapToGrid w:val="0"/>
              <w:jc w:val="center"/>
              <w:rPr>
                <w:rFonts w:hint="default" w:ascii="Times New Roman" w:hAnsi="Times New Roman" w:cs="Times New Roman"/>
                <w:b/>
                <w:bCs/>
                <w:color w:val="auto"/>
                <w:sz w:val="21"/>
                <w:szCs w:val="21"/>
                <w:highlight w:val="none"/>
              </w:rPr>
            </w:pPr>
          </w:p>
          <w:p w14:paraId="3B719A26">
            <w:pPr>
              <w:adjustRightInd w:val="0"/>
              <w:snapToGrid w:val="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 xml:space="preserve">1-2  </w:t>
            </w:r>
            <w:r>
              <w:rPr>
                <w:rFonts w:hint="default" w:ascii="Times New Roman" w:hAnsi="Times New Roman" w:cs="Times New Roman"/>
                <w:b/>
                <w:bCs/>
                <w:color w:val="auto"/>
                <w:sz w:val="21"/>
                <w:szCs w:val="21"/>
                <w:highlight w:val="none"/>
              </w:rPr>
              <w:t xml:space="preserve"> 与《新疆生产建设兵团“三线一单”生态环境分区管控方案》符合性分析一览表</w:t>
            </w:r>
          </w:p>
          <w:tbl>
            <w:tblPr>
              <w:tblStyle w:val="19"/>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57" w:type="dxa"/>
                <w:left w:w="57" w:type="dxa"/>
                <w:bottom w:w="57" w:type="dxa"/>
                <w:right w:w="57" w:type="dxa"/>
              </w:tblCellMar>
            </w:tblPr>
            <w:tblGrid>
              <w:gridCol w:w="610"/>
              <w:gridCol w:w="3037"/>
              <w:gridCol w:w="2920"/>
              <w:gridCol w:w="728"/>
            </w:tblGrid>
            <w:tr w14:paraId="3B411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57" w:type="dxa"/>
                  <w:bottom w:w="57" w:type="dxa"/>
                  <w:right w:w="57" w:type="dxa"/>
                </w:tblCellMar>
              </w:tblPrEx>
              <w:tc>
                <w:tcPr>
                  <w:tcW w:w="2499" w:type="pct"/>
                  <w:gridSpan w:val="2"/>
                  <w:noWrap w:val="0"/>
                  <w:vAlign w:val="center"/>
                </w:tcPr>
                <w:p w14:paraId="494797AC">
                  <w:pPr>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生态环境分区管控方案要求</w:t>
                  </w:r>
                </w:p>
              </w:tc>
              <w:tc>
                <w:tcPr>
                  <w:tcW w:w="2001" w:type="pct"/>
                  <w:noWrap w:val="0"/>
                  <w:vAlign w:val="center"/>
                </w:tcPr>
                <w:p w14:paraId="09C08BEB">
                  <w:pPr>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项目情况</w:t>
                  </w:r>
                </w:p>
              </w:tc>
              <w:tc>
                <w:tcPr>
                  <w:tcW w:w="499" w:type="pct"/>
                  <w:noWrap w:val="0"/>
                  <w:vAlign w:val="center"/>
                </w:tcPr>
                <w:p w14:paraId="45A8E295">
                  <w:pPr>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符合性</w:t>
                  </w:r>
                </w:p>
              </w:tc>
            </w:tr>
            <w:tr w14:paraId="671087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57" w:type="dxa"/>
                  <w:bottom w:w="57" w:type="dxa"/>
                  <w:right w:w="57" w:type="dxa"/>
                </w:tblCellMar>
              </w:tblPrEx>
              <w:tc>
                <w:tcPr>
                  <w:tcW w:w="418" w:type="pct"/>
                  <w:noWrap w:val="0"/>
                  <w:vAlign w:val="center"/>
                </w:tcPr>
                <w:p w14:paraId="0F2609AD">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生态保护红线</w:t>
                  </w:r>
                </w:p>
              </w:tc>
              <w:tc>
                <w:tcPr>
                  <w:tcW w:w="2081" w:type="pct"/>
                  <w:noWrap w:val="0"/>
                  <w:vAlign w:val="center"/>
                </w:tcPr>
                <w:p w14:paraId="3F089C6F">
                  <w:pPr>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按照“生态功能不降低、面积不减少、性质不改变”的基本要求，对划定的生态保护红线实施严格管控，保障和维护兵团生态安全的底线和生命线。</w:t>
                  </w:r>
                </w:p>
              </w:tc>
              <w:tc>
                <w:tcPr>
                  <w:tcW w:w="2001" w:type="pct"/>
                  <w:noWrap w:val="0"/>
                  <w:vAlign w:val="center"/>
                </w:tcPr>
                <w:p w14:paraId="3E6361BD">
                  <w:pPr>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本项目不在兵团生态红线系统范围内（特殊保护区、水源涵养区、水土保持区、防风固沙区）。</w:t>
                  </w:r>
                </w:p>
              </w:tc>
              <w:tc>
                <w:tcPr>
                  <w:tcW w:w="499" w:type="pct"/>
                  <w:noWrap w:val="0"/>
                  <w:vAlign w:val="center"/>
                </w:tcPr>
                <w:p w14:paraId="646D649C">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41989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57" w:type="dxa"/>
                  <w:bottom w:w="57" w:type="dxa"/>
                  <w:right w:w="57" w:type="dxa"/>
                </w:tblCellMar>
              </w:tblPrEx>
              <w:tc>
                <w:tcPr>
                  <w:tcW w:w="418" w:type="pct"/>
                  <w:noWrap w:val="0"/>
                  <w:vAlign w:val="center"/>
                </w:tcPr>
                <w:p w14:paraId="47F204DB">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环境质量底线</w:t>
                  </w:r>
                </w:p>
              </w:tc>
              <w:tc>
                <w:tcPr>
                  <w:tcW w:w="2081" w:type="pct"/>
                  <w:noWrap w:val="0"/>
                  <w:vAlign w:val="center"/>
                </w:tcPr>
                <w:p w14:paraId="5D2B37D2">
                  <w:pPr>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水环境质量持续改善，受污染地表水体得到有效治理，河流水质优良断面比例保持稳定，饮用水安全保障水平持续提升，地下水水质保持稳定。环境空气质量稳步提升，重污染天数持续减少，已达标城市环境空气质量保持稳定，未达标城市环境空气质量持续改善。土壤环境质量保持稳定，受污染地块安全利用水平稳中求进，土壤环境风险得到进一步管控。</w:t>
                  </w:r>
                </w:p>
              </w:tc>
              <w:tc>
                <w:tcPr>
                  <w:tcW w:w="2001" w:type="pct"/>
                  <w:noWrap w:val="0"/>
                  <w:vAlign w:val="center"/>
                </w:tcPr>
                <w:p w14:paraId="6E590271">
                  <w:pP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本项目运营期废气主要为</w:t>
                  </w:r>
                  <w:r>
                    <w:rPr>
                      <w:rFonts w:hint="default" w:ascii="Times New Roman" w:hAnsi="Times New Roman" w:eastAsia="宋体" w:cs="Times New Roman"/>
                      <w:color w:val="auto"/>
                      <w:kern w:val="0"/>
                      <w:sz w:val="21"/>
                      <w:szCs w:val="21"/>
                      <w:highlight w:val="none"/>
                      <w:lang w:val="en-US" w:eastAsia="zh-CN" w:bidi="ar"/>
                    </w:rPr>
                    <w:t>热风炉产生的颗粒物、二氧化硫和氮氧化物</w:t>
                  </w:r>
                  <w:r>
                    <w:rPr>
                      <w:rFonts w:hint="default" w:ascii="Times New Roman" w:hAnsi="Times New Roman" w:eastAsia="宋体" w:cs="Times New Roman"/>
                      <w:color w:val="auto"/>
                      <w:kern w:val="0"/>
                      <w:sz w:val="21"/>
                      <w:szCs w:val="21"/>
                      <w:highlight w:val="none"/>
                      <w:lang w:bidi="ar"/>
                    </w:rPr>
                    <w:t>，</w:t>
                  </w:r>
                  <w:r>
                    <w:rPr>
                      <w:rFonts w:hint="default" w:ascii="Times New Roman" w:hAnsi="Times New Roman" w:eastAsia="宋体" w:cs="Times New Roman"/>
                      <w:color w:val="auto"/>
                      <w:kern w:val="0"/>
                      <w:sz w:val="21"/>
                      <w:szCs w:val="21"/>
                      <w:highlight w:val="none"/>
                      <w:lang w:val="en-US" w:eastAsia="zh-CN" w:bidi="ar"/>
                    </w:rPr>
                    <w:t>采取“</w:t>
                  </w:r>
                  <w:r>
                    <w:rPr>
                      <w:rFonts w:hint="eastAsia" w:cs="Times New Roman"/>
                      <w:color w:val="auto"/>
                      <w:kern w:val="0"/>
                      <w:sz w:val="21"/>
                      <w:szCs w:val="21"/>
                      <w:highlight w:val="none"/>
                      <w:lang w:val="en-US" w:eastAsia="zh-CN" w:bidi="ar"/>
                    </w:rPr>
                    <w:t>低氮燃烧技术+陶瓷多管除尘+布袋除尘+双碱法脱硫</w:t>
                  </w:r>
                  <w:r>
                    <w:rPr>
                      <w:rFonts w:hint="default" w:ascii="Times New Roman" w:hAnsi="Times New Roman" w:eastAsia="宋体" w:cs="Times New Roman"/>
                      <w:color w:val="auto"/>
                      <w:kern w:val="0"/>
                      <w:sz w:val="21"/>
                      <w:szCs w:val="21"/>
                      <w:highlight w:val="none"/>
                      <w:lang w:val="en-US" w:eastAsia="zh-CN" w:bidi="ar"/>
                    </w:rPr>
                    <w:t>”工艺处理废气，</w:t>
                  </w:r>
                  <w:r>
                    <w:rPr>
                      <w:rFonts w:hint="default" w:ascii="Times New Roman" w:hAnsi="Times New Roman" w:eastAsia="宋体" w:cs="Times New Roman"/>
                      <w:color w:val="auto"/>
                      <w:kern w:val="0"/>
                      <w:sz w:val="21"/>
                      <w:szCs w:val="21"/>
                      <w:highlight w:val="none"/>
                      <w:lang w:bidi="ar"/>
                    </w:rPr>
                    <w:t>项目建设基本不会对环境质量底线造成影响。</w:t>
                  </w:r>
                </w:p>
              </w:tc>
              <w:tc>
                <w:tcPr>
                  <w:tcW w:w="499" w:type="pct"/>
                  <w:noWrap w:val="0"/>
                  <w:vAlign w:val="center"/>
                </w:tcPr>
                <w:p w14:paraId="400F28DB">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041326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57" w:type="dxa"/>
                  <w:bottom w:w="57" w:type="dxa"/>
                  <w:right w:w="57" w:type="dxa"/>
                </w:tblCellMar>
              </w:tblPrEx>
              <w:tc>
                <w:tcPr>
                  <w:tcW w:w="418" w:type="pct"/>
                  <w:noWrap w:val="0"/>
                  <w:vAlign w:val="center"/>
                </w:tcPr>
                <w:p w14:paraId="74B8B3FC">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资源利用上线</w:t>
                  </w:r>
                </w:p>
              </w:tc>
              <w:tc>
                <w:tcPr>
                  <w:tcW w:w="2081" w:type="pct"/>
                  <w:noWrap w:val="0"/>
                  <w:vAlign w:val="center"/>
                </w:tcPr>
                <w:p w14:paraId="49D5C734">
                  <w:pPr>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强化节约集约利用，持续提升资源能源利用效率，水资源、土地资源、能源消耗达到国家、兵团下达的总量和强度控制目标，地下水超采得到严格控制。加快区域低碳发展，积极推动低碳试点城市建设，发挥低碳试点示范引领作用。</w:t>
                  </w:r>
                </w:p>
              </w:tc>
              <w:tc>
                <w:tcPr>
                  <w:tcW w:w="2001" w:type="pct"/>
                  <w:noWrap w:val="0"/>
                  <w:vAlign w:val="center"/>
                </w:tcPr>
                <w:p w14:paraId="24B208E2">
                  <w:pPr>
                    <w:adjustRightInd w:val="0"/>
                    <w:snapToGrid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使用139团国有建设用地出让土地，</w:t>
                  </w:r>
                  <w:r>
                    <w:rPr>
                      <w:rFonts w:hint="default" w:ascii="Times New Roman" w:hAnsi="Times New Roman" w:eastAsia="宋体" w:cs="Times New Roman"/>
                      <w:color w:val="auto"/>
                      <w:sz w:val="21"/>
                      <w:szCs w:val="21"/>
                      <w:highlight w:val="none"/>
                    </w:rPr>
                    <w:t>严格按照批准的用地范围进行建设，未出现超占土地的情况，确保了土地使用规模符合国家和兵团的相关规定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项目在能源选择和使用上，优先采用清洁能源和可再生能源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通过优化生产设备的能源配置，提高能源利用效率，降低了能源消耗总量。</w:t>
                  </w:r>
                  <w:r>
                    <w:rPr>
                      <w:rFonts w:hint="default" w:ascii="Times New Roman" w:hAnsi="Times New Roman" w:cs="Times New Roman"/>
                      <w:color w:val="auto"/>
                      <w:sz w:val="21"/>
                      <w:szCs w:val="21"/>
                      <w:highlight w:val="none"/>
                    </w:rPr>
                    <w:t>资源消耗量相对区域资源利用量</w:t>
                  </w:r>
                  <w:r>
                    <w:rPr>
                      <w:rFonts w:hint="default" w:ascii="Times New Roman" w:hAnsi="Times New Roman" w:cs="Times New Roman"/>
                      <w:color w:val="auto"/>
                      <w:sz w:val="21"/>
                      <w:szCs w:val="21"/>
                      <w:highlight w:val="none"/>
                      <w:lang w:val="en-US" w:eastAsia="zh-CN"/>
                    </w:rPr>
                    <w:t>影响</w:t>
                  </w:r>
                  <w:r>
                    <w:rPr>
                      <w:rFonts w:hint="default" w:ascii="Times New Roman" w:hAnsi="Times New Roman" w:cs="Times New Roman"/>
                      <w:color w:val="auto"/>
                      <w:sz w:val="21"/>
                      <w:szCs w:val="21"/>
                      <w:highlight w:val="none"/>
                    </w:rPr>
                    <w:t>较小</w:t>
                  </w:r>
                  <w:r>
                    <w:rPr>
                      <w:rFonts w:hint="default" w:ascii="Times New Roman" w:hAnsi="Times New Roman" w:cs="Times New Roman"/>
                      <w:color w:val="auto"/>
                      <w:sz w:val="21"/>
                      <w:szCs w:val="21"/>
                      <w:highlight w:val="none"/>
                      <w:lang w:eastAsia="zh-CN"/>
                    </w:rPr>
                    <w:t>。</w:t>
                  </w:r>
                </w:p>
              </w:tc>
              <w:tc>
                <w:tcPr>
                  <w:tcW w:w="499" w:type="pct"/>
                  <w:noWrap w:val="0"/>
                  <w:vAlign w:val="center"/>
                </w:tcPr>
                <w:p w14:paraId="6E955AA5">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bl>
          <w:p w14:paraId="7528C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根据《</w:t>
            </w:r>
            <w:bookmarkStart w:id="2" w:name="OLE_LINK2"/>
            <w:r>
              <w:rPr>
                <w:rFonts w:hint="default" w:ascii="Times New Roman" w:hAnsi="Times New Roman" w:eastAsia="宋体" w:cs="Times New Roman"/>
                <w:b w:val="0"/>
                <w:bCs w:val="0"/>
                <w:color w:val="auto"/>
                <w:kern w:val="2"/>
                <w:sz w:val="24"/>
                <w:szCs w:val="24"/>
                <w:highlight w:val="none"/>
                <w:lang w:val="en-US" w:eastAsia="zh-CN" w:bidi="ar-SA"/>
              </w:rPr>
              <w:t>新疆生产建设兵团2023年度生态环境分区管控</w:t>
            </w:r>
            <w:bookmarkEnd w:id="2"/>
            <w:r>
              <w:rPr>
                <w:rFonts w:hint="default" w:ascii="Times New Roman" w:hAnsi="Times New Roman" w:eastAsia="宋体" w:cs="Times New Roman"/>
                <w:b w:val="0"/>
                <w:bCs w:val="0"/>
                <w:color w:val="auto"/>
                <w:kern w:val="2"/>
                <w:sz w:val="24"/>
                <w:szCs w:val="24"/>
                <w:highlight w:val="none"/>
                <w:lang w:val="en-US" w:eastAsia="zh-CN" w:bidi="ar-SA"/>
              </w:rPr>
              <w:t>动态更新成果》，新疆生产建设兵团环境管控单元数量统计一般管控单元数量146个，优先管控单元数量230个，重点管控单元数量384个。</w:t>
            </w:r>
          </w:p>
          <w:p w14:paraId="3E840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优先管控单元主要包括生态保护红线、一般生态空间，水环境优先管控区，环境空气一类功能区等区域。该区域以生态环境保护优先为原则，开发建设 活动应严格执行相关法律、法规要求，严守生态环境质量底线， 确保生态功能不降低。</w:t>
            </w:r>
          </w:p>
          <w:p w14:paraId="254A0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重点管控单元主要包括兵团城市和团部区域、兵团级及以上开发区和开发强度大、污染物排放强度高及存在环境风险的区域。该区域应优化空间布局，加强污染物排放控制和环境风险防控，不断提升资源利用效率，重点解决突出生态环境问题，切实推动生态环境质量持续改善。</w:t>
            </w:r>
          </w:p>
          <w:p w14:paraId="639F9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一般管控单元主要指优先管控单元和重点管控单元之外的区域。该区域以经济社会可持续发展为导向，生态环境保护与适度开发相结合，开发建设应落实现行生态环境保护基本要求。</w:t>
            </w:r>
          </w:p>
          <w:p w14:paraId="6C89D50E">
            <w:pPr>
              <w:bidi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建设地点为第七师胡杨河市129团奎车公路以北、东羊场以东，</w:t>
            </w:r>
            <w:r>
              <w:rPr>
                <w:rFonts w:hint="default" w:ascii="Times New Roman" w:hAnsi="Times New Roman" w:eastAsia="宋体" w:cs="Times New Roman"/>
                <w:color w:val="auto"/>
                <w:sz w:val="24"/>
                <w:szCs w:val="24"/>
                <w:highlight w:val="none"/>
                <w:lang w:val="en-US" w:eastAsia="zh-CN"/>
              </w:rPr>
              <w:t>属于新疆生产建设兵团重点管控单元。</w:t>
            </w:r>
          </w:p>
          <w:p w14:paraId="18126F31">
            <w:pPr>
              <w:bidi w:val="0"/>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与《新疆生产建设兵团第七师胡杨河市生态环境分区管控更新成果</w:t>
            </w:r>
            <w:r>
              <w:rPr>
                <w:rFonts w:hint="eastAsia" w:ascii="Times New Roman" w:hAnsi="Times New Roman"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2023版</w:t>
            </w:r>
            <w:r>
              <w:rPr>
                <w:rFonts w:hint="eastAsia" w:ascii="Times New Roman" w:hAnsi="Times New Roman"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w:t>
            </w:r>
            <w:r>
              <w:rPr>
                <w:rFonts w:hint="default" w:ascii="Times New Roman" w:hAnsi="Times New Roman" w:cs="Times New Roman"/>
                <w:b/>
                <w:bCs/>
                <w:color w:val="auto"/>
                <w:sz w:val="24"/>
                <w:szCs w:val="24"/>
                <w:highlight w:val="none"/>
                <w:lang w:eastAsia="zh-CN"/>
              </w:rPr>
              <w:t>（师市环委办发〔2024〕2号）</w:t>
            </w:r>
            <w:r>
              <w:rPr>
                <w:rFonts w:hint="default" w:ascii="Times New Roman" w:hAnsi="Times New Roman" w:eastAsia="宋体" w:cs="Times New Roman"/>
                <w:b/>
                <w:bCs/>
                <w:color w:val="auto"/>
                <w:sz w:val="24"/>
                <w:szCs w:val="24"/>
                <w:highlight w:val="none"/>
              </w:rPr>
              <w:t>相符性分析</w:t>
            </w:r>
          </w:p>
          <w:p w14:paraId="27A5E4F8">
            <w:pPr>
              <w:keepNext w:val="0"/>
              <w:keepLines w:val="0"/>
              <w:widowControl/>
              <w:numPr>
                <w:ilvl w:val="0"/>
                <w:numId w:val="0"/>
              </w:numPr>
              <w:suppressLineNumbers w:val="0"/>
              <w:spacing w:line="360" w:lineRule="auto"/>
              <w:ind w:firstLine="480" w:firstLineChars="200"/>
              <w:jc w:val="left"/>
              <w:rPr>
                <w:rFonts w:hint="default" w:ascii="Times New Roman" w:hAnsi="Times New Roman" w:eastAsia="宋体" w:cs="Times New Roman"/>
                <w:color w:val="auto"/>
                <w:sz w:val="24"/>
                <w:szCs w:val="24"/>
                <w:highlight w:val="none"/>
                <w:lang w:val="en-US"/>
              </w:rPr>
            </w:pPr>
            <w:r>
              <w:rPr>
                <w:rFonts w:hint="default" w:ascii="Times New Roman" w:hAnsi="Times New Roman" w:cs="Times New Roman"/>
                <w:b w:val="0"/>
                <w:bCs w:val="0"/>
                <w:color w:val="auto"/>
                <w:kern w:val="0"/>
                <w:sz w:val="24"/>
                <w:szCs w:val="24"/>
                <w:highlight w:val="none"/>
                <w:lang w:val="en-US" w:eastAsia="zh-CN"/>
              </w:rPr>
              <w:t>2024年7月2日，师市生态环境保护委员会办公室印发“关于公布《新疆生产建设兵团第七师胡杨河市生态环境分区管控更新成果</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2023版</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》的通知”，根据第七师胡杨河市环境管控单元划分，本项目所在位置属于129团重点管控单元，环境管控单元编码为ZH65770720001。本项目与《新疆生产建设兵团第七师胡杨河市生态环境分区管控更新成果</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2023版</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》符合性分析见表1-</w:t>
            </w:r>
            <w:r>
              <w:rPr>
                <w:rFonts w:hint="eastAsia" w:ascii="Times New Roman" w:hAnsi="Times New Roman" w:cs="Times New Roman"/>
                <w:b w:val="0"/>
                <w:bCs w:val="0"/>
                <w:color w:val="auto"/>
                <w:kern w:val="0"/>
                <w:sz w:val="24"/>
                <w:szCs w:val="24"/>
                <w:highlight w:val="none"/>
                <w:lang w:val="en-US" w:eastAsia="zh-CN"/>
              </w:rPr>
              <w:t>3</w:t>
            </w:r>
            <w:r>
              <w:rPr>
                <w:rFonts w:hint="default" w:ascii="Times New Roman" w:hAnsi="Times New Roman" w:cs="Times New Roman"/>
                <w:b w:val="0"/>
                <w:bCs w:val="0"/>
                <w:color w:val="auto"/>
                <w:kern w:val="0"/>
                <w:sz w:val="24"/>
                <w:szCs w:val="24"/>
                <w:highlight w:val="none"/>
                <w:lang w:val="en-US" w:eastAsia="zh-CN"/>
              </w:rPr>
              <w:t>。</w:t>
            </w:r>
          </w:p>
          <w:p w14:paraId="2C049612">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w:t>
            </w:r>
            <w:r>
              <w:rPr>
                <w:rFonts w:hint="eastAsia"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 xml:space="preserve"> 与《新疆生产建设兵团第七师胡杨河市生态环境分区管控更新成果</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2023版</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》符合性分析一览表</w:t>
            </w:r>
          </w:p>
          <w:tbl>
            <w:tblPr>
              <w:tblStyle w:val="2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549"/>
              <w:gridCol w:w="4217"/>
              <w:gridCol w:w="2000"/>
            </w:tblGrid>
            <w:tr w14:paraId="78A9B5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9" w:type="pct"/>
                  <w:gridSpan w:val="3"/>
                  <w:noWrap w:val="0"/>
                  <w:vAlign w:val="center"/>
                </w:tcPr>
                <w:p w14:paraId="621D45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管</w:t>
                  </w:r>
                  <w:r>
                    <w:rPr>
                      <w:rFonts w:hint="default" w:ascii="Times New Roman" w:hAnsi="Times New Roman" w:eastAsia="宋体" w:cs="Times New Roman"/>
                      <w:b w:val="0"/>
                      <w:bCs w:val="0"/>
                      <w:color w:val="auto"/>
                      <w:sz w:val="21"/>
                      <w:szCs w:val="21"/>
                      <w:highlight w:val="none"/>
                    </w:rPr>
                    <w:t>控要求</w:t>
                  </w:r>
                </w:p>
              </w:tc>
              <w:tc>
                <w:tcPr>
                  <w:tcW w:w="1370" w:type="pct"/>
                  <w:noWrap w:val="0"/>
                  <w:vAlign w:val="center"/>
                </w:tcPr>
                <w:p w14:paraId="474E47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符合性分析</w:t>
                  </w:r>
                </w:p>
              </w:tc>
            </w:tr>
            <w:tr w14:paraId="55AF86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restart"/>
                  <w:noWrap w:val="0"/>
                  <w:vAlign w:val="center"/>
                </w:tcPr>
                <w:p w14:paraId="32B79A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129团重点管控单元</w:t>
                  </w:r>
                </w:p>
              </w:tc>
              <w:tc>
                <w:tcPr>
                  <w:tcW w:w="377" w:type="pct"/>
                  <w:noWrap w:val="0"/>
                  <w:vAlign w:val="center"/>
                </w:tcPr>
                <w:p w14:paraId="7FD0A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空间布局约束</w:t>
                  </w:r>
                </w:p>
              </w:tc>
              <w:tc>
                <w:tcPr>
                  <w:tcW w:w="2888" w:type="pct"/>
                  <w:noWrap w:val="0"/>
                  <w:vAlign w:val="center"/>
                </w:tcPr>
                <w:p w14:paraId="5ADFF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（1）执行水环境城镇生活污染重点管控区相关要求。（2）加大水环境保护力度，重点完善城镇基础设施建设，推进城市水循环体系建设，开展城镇湿地、河岸带生态阻隔等综合治理工程，维护良好水环境质量</w:t>
                  </w:r>
                  <w:r>
                    <w:rPr>
                      <w:rFonts w:hint="default" w:ascii="Times New Roman" w:hAnsi="Times New Roman" w:eastAsia="宋体" w:cs="Times New Roman"/>
                      <w:b w:val="0"/>
                      <w:bCs w:val="0"/>
                      <w:color w:val="auto"/>
                      <w:sz w:val="21"/>
                      <w:szCs w:val="21"/>
                      <w:highlight w:val="none"/>
                      <w:lang w:val="en-US" w:eastAsia="zh-CN"/>
                    </w:rPr>
                    <w:t>。</w:t>
                  </w:r>
                </w:p>
              </w:tc>
              <w:tc>
                <w:tcPr>
                  <w:tcW w:w="1370" w:type="pct"/>
                  <w:noWrap w:val="0"/>
                  <w:vAlign w:val="center"/>
                </w:tcPr>
                <w:p w14:paraId="3F7C9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项目运营期产生的废水主要为脱硫废水及生活污水，脱硫废水经处理后循环使用，生活污水暂存于厂区化粪池，委当地吸污车拉运处置。不会对水环境造成影响，因此符合。</w:t>
                  </w:r>
                </w:p>
              </w:tc>
            </w:tr>
            <w:tr w14:paraId="272345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noWrap w:val="0"/>
                  <w:vAlign w:val="center"/>
                </w:tcPr>
                <w:p w14:paraId="33F82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377" w:type="pct"/>
                  <w:noWrap w:val="0"/>
                  <w:vAlign w:val="center"/>
                </w:tcPr>
                <w:p w14:paraId="46031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污染物排放管控</w:t>
                  </w:r>
                </w:p>
              </w:tc>
              <w:tc>
                <w:tcPr>
                  <w:tcW w:w="2888" w:type="pct"/>
                  <w:noWrap w:val="0"/>
                  <w:vAlign w:val="center"/>
                </w:tcPr>
                <w:p w14:paraId="214E5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执行水环境城镇生活污染重点管控区相关要求。（2）在村庄/连队建设符合本地特点的小型污水处理站，同时新建污水管网、完善污水收集系统，将污泥运送到团场统一处理。加强生活垃圾处理。加强改厕与生活污水治理的有效衔接。（3）酸液、碱液以及其他有毒有害废液，应当按照规定单独收集和安全处置，不得排入城镇污水收集管网或者直接排入水体。医疗污水应当按照有关法律、法规的规定处置。（4）城镇污水处理设施产生的污泥应进行稳定化、无害化和资源化处理处置，禁止处理处置不达标的污泥进入耕地。（5）实施区域污染物总量控制，强化工业污染防治，加快环保基础设施建设，推进城乡生活污染治理；深入推进农业面源污染治理，重视城镇面源污染防治</w:t>
                  </w:r>
                  <w:r>
                    <w:rPr>
                      <w:rFonts w:hint="default" w:ascii="Times New Roman" w:hAnsi="Times New Roman" w:eastAsia="宋体" w:cs="Times New Roman"/>
                      <w:b w:val="0"/>
                      <w:bCs w:val="0"/>
                      <w:color w:val="auto"/>
                      <w:sz w:val="21"/>
                      <w:szCs w:val="21"/>
                      <w:highlight w:val="none"/>
                      <w:lang w:val="en-US" w:eastAsia="zh-CN"/>
                    </w:rPr>
                    <w:t>。</w:t>
                  </w:r>
                </w:p>
              </w:tc>
              <w:tc>
                <w:tcPr>
                  <w:tcW w:w="1370" w:type="pct"/>
                  <w:noWrap w:val="0"/>
                  <w:vAlign w:val="center"/>
                </w:tcPr>
                <w:p w14:paraId="7B45E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项目脱硫废水经处理后循环使用，生活污水暂存于厂区化粪池，委当地吸污车拉运处置。不涉及</w:t>
                  </w:r>
                  <w:r>
                    <w:rPr>
                      <w:rFonts w:hint="default" w:ascii="Times New Roman" w:hAnsi="Times New Roman" w:eastAsia="宋体" w:cs="Times New Roman"/>
                      <w:b w:val="0"/>
                      <w:bCs w:val="0"/>
                      <w:color w:val="auto"/>
                      <w:sz w:val="21"/>
                      <w:szCs w:val="21"/>
                      <w:highlight w:val="none"/>
                      <w:lang w:eastAsia="zh-CN"/>
                    </w:rPr>
                    <w:t>酸液、碱液以及其他有毒有害废液</w:t>
                  </w:r>
                  <w:r>
                    <w:rPr>
                      <w:rFonts w:hint="default" w:ascii="Times New Roman" w:hAnsi="Times New Roman" w:cs="Times New Roman"/>
                      <w:b w:val="0"/>
                      <w:bCs w:val="0"/>
                      <w:color w:val="auto"/>
                      <w:sz w:val="21"/>
                      <w:szCs w:val="21"/>
                      <w:highlight w:val="none"/>
                      <w:lang w:val="en-US" w:eastAsia="zh-CN"/>
                    </w:rPr>
                    <w:t>，因此符合。</w:t>
                  </w:r>
                </w:p>
              </w:tc>
            </w:tr>
            <w:tr w14:paraId="61E838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noWrap w:val="0"/>
                  <w:vAlign w:val="center"/>
                </w:tcPr>
                <w:p w14:paraId="5D5E7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377" w:type="pct"/>
                  <w:noWrap w:val="0"/>
                  <w:vAlign w:val="center"/>
                </w:tcPr>
                <w:p w14:paraId="547A4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环境风险防控</w:t>
                  </w:r>
                </w:p>
              </w:tc>
              <w:tc>
                <w:tcPr>
                  <w:tcW w:w="2888" w:type="pct"/>
                  <w:noWrap w:val="0"/>
                  <w:vAlign w:val="center"/>
                </w:tcPr>
                <w:p w14:paraId="3AF41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（1）稳妥处置突发水环境污染事件，落实责任主体，明确预警预报与响应程序、应急处置及保障措施等内容，及时公布预警信息，有效应对突发事件</w:t>
                  </w:r>
                </w:p>
              </w:tc>
              <w:tc>
                <w:tcPr>
                  <w:tcW w:w="1370" w:type="pct"/>
                  <w:noWrap w:val="0"/>
                  <w:vAlign w:val="center"/>
                </w:tcPr>
                <w:p w14:paraId="3CFCC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项目取得环评批复后按要求制定突发环境事件应急预案，落实各项风险防范措施。</w:t>
                  </w:r>
                </w:p>
              </w:tc>
            </w:tr>
            <w:tr w14:paraId="3179F9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3" w:type="pct"/>
                  <w:vMerge w:val="continue"/>
                  <w:noWrap w:val="0"/>
                  <w:vAlign w:val="center"/>
                </w:tcPr>
                <w:p w14:paraId="12B6B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377" w:type="pct"/>
                  <w:noWrap w:val="0"/>
                  <w:vAlign w:val="center"/>
                </w:tcPr>
                <w:p w14:paraId="695A4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资源利用效率</w:t>
                  </w:r>
                </w:p>
              </w:tc>
              <w:tc>
                <w:tcPr>
                  <w:tcW w:w="2888" w:type="pct"/>
                  <w:noWrap w:val="0"/>
                  <w:vAlign w:val="center"/>
                </w:tcPr>
                <w:p w14:paraId="2F280A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（1）以城市及产业集聚区为重点，实施再生水利用工程，完善再生水利用设施，工业生产、城市绿化、道路清扫、车辆冲洗、建筑施工以及生态景观等用水，要优先使用再生水。</w:t>
                  </w:r>
                </w:p>
              </w:tc>
              <w:tc>
                <w:tcPr>
                  <w:tcW w:w="1370" w:type="pct"/>
                  <w:noWrap w:val="0"/>
                  <w:vAlign w:val="center"/>
                </w:tcPr>
                <w:p w14:paraId="40B128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本项目用水量较小，脱硫废水循环使用，符合要求。</w:t>
                  </w:r>
                </w:p>
              </w:tc>
            </w:tr>
          </w:tbl>
          <w:p w14:paraId="3EA8E2B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b/>
                <w:bCs/>
                <w:color w:val="auto"/>
                <w:kern w:val="0"/>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w:t>
            </w:r>
            <w:r>
              <w:rPr>
                <w:rFonts w:hint="default" w:ascii="Times New Roman" w:hAnsi="Times New Roman" w:eastAsia="宋体" w:cs="Times New Roman"/>
                <w:b/>
                <w:bCs w:val="0"/>
                <w:color w:val="auto"/>
                <w:sz w:val="24"/>
                <w:szCs w:val="24"/>
                <w:highlight w:val="none"/>
              </w:rPr>
              <w:t>与</w:t>
            </w:r>
            <w:r>
              <w:rPr>
                <w:rFonts w:hint="default" w:ascii="Times New Roman" w:hAnsi="Times New Roman" w:cs="Times New Roman"/>
                <w:b/>
                <w:bCs/>
                <w:color w:val="auto"/>
                <w:kern w:val="0"/>
                <w:sz w:val="24"/>
                <w:szCs w:val="24"/>
                <w:highlight w:val="none"/>
                <w:lang w:val="en-US" w:eastAsia="zh-CN"/>
              </w:rPr>
              <w:t>《新疆生产建设兵团“十四五”生态环境保护规划》符合性分析</w:t>
            </w:r>
          </w:p>
          <w:p w14:paraId="2AE4A1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2021年12月3日，新疆生产建设兵团办公厅印发《新疆生产建设兵团“十四五”生态环境保护规划》的通知，与本项目相关的内容如下：</w:t>
            </w:r>
          </w:p>
          <w:p w14:paraId="5A66DD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严禁“三高”项目进兵团，严格落实钢铁、有色、煤炭、电力、石油化工、建材、印染等行业新、改、扩建项目的环境准入。有序承接精细化工产业转移，推进化工产业高质量发展；环境已超载或易引发次生环境风险的地区，限制承接化工产业。</w:t>
            </w:r>
          </w:p>
          <w:p w14:paraId="3B499BF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严格控制煤炭消耗强度，推动煤炭清洁高效利用。合理控制煤炭消费总量，开展新能源替代传统能源工作。</w:t>
            </w:r>
          </w:p>
          <w:p w14:paraId="788769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深化工业炉窑大气污染综合治理，推进工业炉窑全面达标排放，加强无组织排放管理，开展升级改造、清洁能源替代燃煤等工作。</w:t>
            </w:r>
          </w:p>
          <w:p w14:paraId="7019CB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加强企业生态环境治理责任制度建设，引导企业建立自我检查、自我纠正、自我完善的环境治理工作机制。督促企业严格执行法律法规，严格执行建设项目环境影响评价、环境保护“三同时”、排污许可、自行监测、清洁生产与资源综合利用等生态环境保护管理制度，履行污染治理与排放控制、水资源节约和保护、生态保护与修复、突发环境事件应急管理等法定义务和社会责任。</w:t>
            </w:r>
          </w:p>
          <w:p w14:paraId="520A92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本项目不属于“三高”项目，主要是玉米烘干，新建2台18t/h的生物质热风炉，采用生物质颗粒作为燃料，采取的污染治理设施为“</w:t>
            </w:r>
            <w:r>
              <w:rPr>
                <w:rFonts w:hint="eastAsia" w:cs="Times New Roman"/>
                <w:b w:val="0"/>
                <w:bCs w:val="0"/>
                <w:color w:val="auto"/>
                <w:kern w:val="0"/>
                <w:sz w:val="24"/>
                <w:szCs w:val="24"/>
                <w:highlight w:val="none"/>
                <w:lang w:val="en-US" w:eastAsia="zh-CN"/>
              </w:rPr>
              <w:t>低氮燃烧技术+陶瓷多管除尘+布袋除尘+双碱法脱硫</w:t>
            </w:r>
            <w:r>
              <w:rPr>
                <w:rFonts w:hint="default" w:ascii="Times New Roman" w:hAnsi="Times New Roman" w:cs="Times New Roman"/>
                <w:b w:val="0"/>
                <w:bCs w:val="0"/>
                <w:color w:val="auto"/>
                <w:kern w:val="0"/>
                <w:sz w:val="24"/>
                <w:szCs w:val="24"/>
                <w:highlight w:val="none"/>
                <w:lang w:val="en-US" w:eastAsia="zh-CN"/>
              </w:rPr>
              <w:t>”工艺，经分析，污染物可达标排放，企业在项目投运前按要求申领排污许可证，投运后开展环境保护“三同时”验收、突发环境事件应急预案、自行监测等，并制定安全环保相关制度，因此项目建设符合《新疆生产建设兵团“十四五”生态环境保护规划》的相关要求。</w:t>
            </w:r>
          </w:p>
          <w:p w14:paraId="79A039A9">
            <w:pPr>
              <w:keepLines w:val="0"/>
              <w:pageBreakBefore w:val="0"/>
              <w:widowControl w:val="0"/>
              <w:kinsoku/>
              <w:wordWrap/>
              <w:overflowPunct/>
              <w:topLinePunct w:val="0"/>
              <w:bidi w:val="0"/>
              <w:spacing w:line="360" w:lineRule="auto"/>
              <w:jc w:val="left"/>
              <w:textAlignment w:val="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cs="Times New Roman"/>
                <w:b/>
                <w:bCs/>
                <w:snapToGrid w:val="0"/>
                <w:color w:val="auto"/>
                <w:kern w:val="0"/>
                <w:sz w:val="24"/>
                <w:highlight w:val="none"/>
                <w:lang w:val="en-US" w:eastAsia="zh-CN"/>
              </w:rPr>
              <w:t>5、</w:t>
            </w:r>
            <w:r>
              <w:rPr>
                <w:rFonts w:hint="default" w:ascii="Times New Roman" w:hAnsi="Times New Roman" w:eastAsia="宋体" w:cs="Times New Roman"/>
                <w:b/>
                <w:bCs/>
                <w:snapToGrid w:val="0"/>
                <w:color w:val="auto"/>
                <w:kern w:val="0"/>
                <w:sz w:val="24"/>
                <w:highlight w:val="none"/>
                <w:lang w:val="en-US" w:eastAsia="zh-CN"/>
              </w:rPr>
              <w:t>与《新疆生产建设兵团第七师“十四五”生态环境保护规划》符合性</w:t>
            </w:r>
          </w:p>
          <w:p w14:paraId="30746A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highlight w:val="none"/>
                <w:lang w:val="en-US" w:eastAsia="zh-CN"/>
              </w:rPr>
              <w:t>2022年4月</w:t>
            </w:r>
            <w:r>
              <w:rPr>
                <w:rFonts w:hint="default" w:ascii="Times New Roman" w:hAnsi="Times New Roman" w:cs="Times New Roman"/>
                <w:snapToGrid w:val="0"/>
                <w:color w:val="auto"/>
                <w:kern w:val="0"/>
                <w:sz w:val="24"/>
                <w:highlight w:val="none"/>
                <w:lang w:val="en-US" w:eastAsia="zh-CN"/>
              </w:rPr>
              <w:t>，新疆生产建设兵团第七师胡杨河市人民政府印发《第七师胡杨河市“十四五”生态环境保护规划（2021-2025年）》，</w:t>
            </w:r>
            <w:r>
              <w:rPr>
                <w:rFonts w:hint="default" w:ascii="Times New Roman" w:hAnsi="Times New Roman" w:cs="Times New Roman"/>
                <w:b w:val="0"/>
                <w:bCs w:val="0"/>
                <w:color w:val="auto"/>
                <w:kern w:val="0"/>
                <w:sz w:val="24"/>
                <w:szCs w:val="24"/>
                <w:highlight w:val="none"/>
                <w:lang w:val="en-US" w:eastAsia="zh-CN"/>
              </w:rPr>
              <w:t>与本项目相关的内容如下：</w:t>
            </w:r>
          </w:p>
          <w:p w14:paraId="003F7F3D">
            <w:pPr>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eastAsia="宋体" w:cs="Times New Roman"/>
                <w:snapToGrid w:val="0"/>
                <w:color w:val="auto"/>
                <w:kern w:val="0"/>
                <w:sz w:val="24"/>
                <w:highlight w:val="none"/>
                <w:lang w:val="en-US" w:eastAsia="zh-CN"/>
              </w:rPr>
              <w:t>持续推进区域和行业规划环境影响评价，严禁“三高”项目进七师。严格落实钢铁、有色、煤炭、电力、建材等主要行业新建、改建和扩建的建设项目的环境准入，强化管理，不符合准入条件的项目一律不予批准。加速制定精细化工、新材料、纺织等行业环境准入条件。</w:t>
            </w:r>
          </w:p>
          <w:p w14:paraId="1CF0C194">
            <w:pPr>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eastAsia="宋体" w:cs="Times New Roman"/>
                <w:snapToGrid w:val="0"/>
                <w:color w:val="auto"/>
                <w:kern w:val="0"/>
                <w:sz w:val="24"/>
                <w:highlight w:val="none"/>
                <w:lang w:val="en-US" w:eastAsia="zh-CN"/>
              </w:rPr>
              <w:t>严把新锅炉市场准入关，进一步提高新建燃煤锅炉准入门槛。新建燃煤锅炉效率不低于85%，燃气锅炉效率不低于95%。“奎-独-乌”区域内城市建成区淘汰每小时35蒸吨及以下燃煤锅炉，每小时65蒸吨及以上燃煤锅炉完成节能和超低排放改造，燃气锅炉完成低氮燃烧改造。供热供气管网不能覆盖的地区，改用电、新能源或洁净煤，推广应用高效节能环保型锅炉。深化工业炉窑大气污染综合治理，推进工业炉窑全面达标排放，加强无组织排放管理，开展升级改造、清洁能源替代燃煤等工作。</w:t>
            </w:r>
          </w:p>
          <w:p w14:paraId="431C144A">
            <w:pPr>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eastAsia="宋体" w:cs="Times New Roman"/>
                <w:snapToGrid w:val="0"/>
                <w:color w:val="auto"/>
                <w:kern w:val="0"/>
                <w:sz w:val="24"/>
                <w:highlight w:val="none"/>
                <w:lang w:val="en-US" w:eastAsia="zh-CN"/>
              </w:rPr>
              <w:t>健全危险废物产生单位清单和拥有危险废物自行利用、处置设施的单位名录，建立并完善危险废物重点监管单位清单。强化部门联动，加强危险废物监管能力与应急处置技术支持能力建设，应急管理、生态环境以及其他相关部门建立监管协作和联合执法工作机制。深入开展危险废物规范化管理与专项整治，以医疗废物、废酸、废铅蓄电池、废矿物油等危险废物为重点，持续打击危险废物环境违法犯罪行为，严厉查处违规堆存、随意倾倒以及非法填埋危险废物等环境违法行为。依托具备条件的危险废物相关企业建设危险废物管理培训实习基地。</w:t>
            </w:r>
          </w:p>
          <w:p w14:paraId="657CC9B2">
            <w:pPr>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eastAsia="宋体" w:cs="Times New Roman"/>
                <w:snapToGrid w:val="0"/>
                <w:color w:val="auto"/>
                <w:kern w:val="0"/>
                <w:sz w:val="24"/>
                <w:highlight w:val="none"/>
                <w:lang w:val="en-US" w:eastAsia="zh-CN"/>
              </w:rPr>
              <w:t>以各类工业集聚区为重点，开展煤矸石、炉渣等工业固体废物非法堆存专项排查，建立工业固体废物非正规堆放点整治清单，逐步开展整治工作。完善再生资源回收利用基础设施，支持资源再生利用重大示范工程和循环经济示范园区建设，构建固体废物回收循环和综合利用体系。</w:t>
            </w:r>
          </w:p>
          <w:p w14:paraId="7EAB2F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本项目不属于“三高”项目，主要是玉米烘干，新建2台18t/h的生物质热风炉，采用生物质颗粒作为燃料，采取的污染治理设施为“</w:t>
            </w:r>
            <w:r>
              <w:rPr>
                <w:rFonts w:hint="eastAsia" w:cs="Times New Roman"/>
                <w:b w:val="0"/>
                <w:bCs w:val="0"/>
                <w:color w:val="auto"/>
                <w:kern w:val="0"/>
                <w:sz w:val="24"/>
                <w:szCs w:val="24"/>
                <w:highlight w:val="none"/>
                <w:lang w:val="en-US" w:eastAsia="zh-CN"/>
              </w:rPr>
              <w:t>低氮燃烧技术+陶瓷多管除尘+布袋除尘+双碱法脱硫</w:t>
            </w:r>
            <w:r>
              <w:rPr>
                <w:rFonts w:hint="default" w:ascii="Times New Roman" w:hAnsi="Times New Roman" w:cs="Times New Roman"/>
                <w:b w:val="0"/>
                <w:bCs w:val="0"/>
                <w:color w:val="auto"/>
                <w:kern w:val="0"/>
                <w:sz w:val="24"/>
                <w:szCs w:val="24"/>
                <w:highlight w:val="none"/>
                <w:lang w:val="en-US" w:eastAsia="zh-CN"/>
              </w:rPr>
              <w:t>”工艺，经分析，污染物可达标排放。固废和危废采取的主要措施为：除尘器收集的灰尘出售给农户作为农家肥；热风炉灰渣集中收集，出售给农户作为农家肥使用；设置危险废物贮存点，危险废物在危险废物贮存点暂存，定期交由具有相应处理资质的单位进行后续处置。因此项目建设符合《新疆生产建设兵团第七师“十四五”生态环境保护规划》的相关要求</w:t>
            </w:r>
            <w:r>
              <w:rPr>
                <w:rFonts w:hint="default" w:ascii="Times New Roman" w:hAnsi="Times New Roman" w:eastAsia="宋体" w:cs="Times New Roman"/>
                <w:snapToGrid w:val="0"/>
                <w:color w:val="auto"/>
                <w:kern w:val="0"/>
                <w:sz w:val="24"/>
                <w:highlight w:val="none"/>
                <w:lang w:val="en-US" w:eastAsia="zh-CN"/>
              </w:rPr>
              <w:t>。</w:t>
            </w:r>
          </w:p>
          <w:p w14:paraId="7734C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6</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snapToGrid w:val="0"/>
                <w:color w:val="auto"/>
                <w:kern w:val="0"/>
                <w:sz w:val="24"/>
                <w:highlight w:val="none"/>
                <w:lang w:val="en-US" w:eastAsia="zh-CN"/>
              </w:rPr>
              <w:t>与《空气质量持续改善行动计划》国发[2023]24 号的符合性分析</w:t>
            </w:r>
          </w:p>
          <w:p w14:paraId="4110B8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积极开展燃煤锅炉关停整合。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2.5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w:t>
            </w:r>
            <w:r>
              <w:rPr>
                <w:rFonts w:hint="default" w:ascii="Times New Roman" w:hAnsi="Times New Roman" w:eastAsia="宋体" w:cs="Times New Roman"/>
                <w:i w:val="0"/>
                <w:iCs w:val="0"/>
                <w:caps w:val="0"/>
                <w:color w:val="auto"/>
                <w:spacing w:val="0"/>
                <w:sz w:val="24"/>
                <w:szCs w:val="24"/>
                <w:highlight w:val="none"/>
                <w:shd w:val="clear" w:fill="FFFFFF"/>
              </w:rPr>
              <w:t>生物质锅炉采用专用锅炉，配套布袋等高效除尘设施，禁止掺烧煤炭、生活垃圾等其他物料。推进整合小型生物质锅炉，积极引导城市建成区内生物质锅炉（含电力）超低排放改造。强化治污设施运行维护，减少非正常工况排放。</w:t>
            </w:r>
          </w:p>
          <w:p w14:paraId="7BAE64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napToGrid w:val="0"/>
                <w:color w:val="auto"/>
                <w:kern w:val="0"/>
                <w:sz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本项目新建2台18t/h生物质热风炉，</w:t>
            </w:r>
            <w:r>
              <w:rPr>
                <w:rFonts w:hint="default" w:ascii="Times New Roman" w:hAnsi="Times New Roman" w:eastAsia="宋体" w:cs="Times New Roman"/>
                <w:snapToGrid w:val="0"/>
                <w:color w:val="auto"/>
                <w:kern w:val="0"/>
                <w:sz w:val="24"/>
                <w:highlight w:val="none"/>
                <w:lang w:val="en-US" w:eastAsia="zh-CN"/>
              </w:rPr>
              <w:t>用于生产热风供应。燃料储存间、灰渣</w:t>
            </w:r>
            <w:r>
              <w:rPr>
                <w:rFonts w:hint="default" w:ascii="Times New Roman" w:hAnsi="Times New Roman" w:cs="Times New Roman"/>
                <w:snapToGrid w:val="0"/>
                <w:color w:val="auto"/>
                <w:kern w:val="0"/>
                <w:sz w:val="24"/>
                <w:highlight w:val="none"/>
                <w:lang w:val="en-US" w:eastAsia="zh-CN"/>
              </w:rPr>
              <w:t>暂存间、原料堆场</w:t>
            </w:r>
            <w:r>
              <w:rPr>
                <w:rFonts w:hint="default" w:ascii="Times New Roman" w:hAnsi="Times New Roman" w:eastAsia="宋体" w:cs="Times New Roman"/>
                <w:snapToGrid w:val="0"/>
                <w:color w:val="auto"/>
                <w:kern w:val="0"/>
                <w:sz w:val="24"/>
                <w:highlight w:val="none"/>
                <w:lang w:val="en-US" w:eastAsia="zh-CN"/>
              </w:rPr>
              <w:t>均进行</w:t>
            </w:r>
            <w:r>
              <w:rPr>
                <w:rFonts w:hint="default" w:ascii="Times New Roman" w:hAnsi="Times New Roman" w:cs="Times New Roman"/>
                <w:snapToGrid w:val="0"/>
                <w:color w:val="auto"/>
                <w:kern w:val="0"/>
                <w:sz w:val="24"/>
                <w:highlight w:val="none"/>
                <w:lang w:val="en-US" w:eastAsia="zh-CN"/>
              </w:rPr>
              <w:t>覆盖</w:t>
            </w:r>
            <w:r>
              <w:rPr>
                <w:rFonts w:hint="default" w:ascii="Times New Roman" w:hAnsi="Times New Roman" w:eastAsia="宋体" w:cs="Times New Roman"/>
                <w:snapToGrid w:val="0"/>
                <w:color w:val="auto"/>
                <w:kern w:val="0"/>
                <w:sz w:val="24"/>
                <w:highlight w:val="none"/>
                <w:lang w:val="en-US" w:eastAsia="zh-CN"/>
              </w:rPr>
              <w:t>封闭处理。</w:t>
            </w:r>
          </w:p>
          <w:p w14:paraId="7EEF86BF">
            <w:pPr>
              <w:keepNext/>
              <w:keepLines w:val="0"/>
              <w:pageBreakBefore w:val="0"/>
              <w:widowControl w:val="0"/>
              <w:numPr>
                <w:ilvl w:val="0"/>
                <w:numId w:val="0"/>
              </w:numPr>
              <w:kinsoku/>
              <w:wordWrap/>
              <w:overflowPunct/>
              <w:topLinePunct w:val="0"/>
              <w:bidi w:val="0"/>
              <w:spacing w:line="360" w:lineRule="auto"/>
              <w:jc w:val="left"/>
              <w:textAlignment w:val="auto"/>
              <w:outlineLvl w:val="0"/>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7</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cs="Times New Roman"/>
                <w:b/>
                <w:bCs/>
                <w:color w:val="auto"/>
                <w:kern w:val="2"/>
                <w:sz w:val="24"/>
                <w:szCs w:val="24"/>
                <w:highlight w:val="none"/>
                <w:lang w:val="en-US" w:eastAsia="zh-CN" w:bidi="ar-SA"/>
              </w:rPr>
              <w:t>项目建设生物质热风炉的符合性分析</w:t>
            </w:r>
          </w:p>
          <w:p w14:paraId="20B68F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根据中华人民共和国生态环境部部长信箱关于《关于生物质成型燃料是否真的为高污染燃料的回复意见》可知：</w:t>
            </w:r>
          </w:p>
          <w:p w14:paraId="478033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生物质成型燃料含硫量低、灰分低，燃烧后主要的污染物是烟尘。配置高效的</w:t>
            </w:r>
            <w:r>
              <w:rPr>
                <w:rFonts w:hint="default" w:ascii="Times New Roman" w:hAnsi="Times New Roman" w:eastAsia="宋体" w:cs="Times New Roman"/>
                <w:color w:val="auto"/>
                <w:sz w:val="24"/>
                <w:szCs w:val="24"/>
                <w:highlight w:val="none"/>
                <w:lang w:val="en-US" w:eastAsia="zh-CN"/>
              </w:rPr>
              <w:t>布袋</w:t>
            </w:r>
            <w:r>
              <w:rPr>
                <w:rFonts w:hint="default" w:ascii="Times New Roman" w:hAnsi="Times New Roman" w:cs="Times New Roman"/>
                <w:snapToGrid w:val="0"/>
                <w:color w:val="auto"/>
                <w:kern w:val="0"/>
                <w:sz w:val="24"/>
                <w:szCs w:val="24"/>
                <w:highlight w:val="none"/>
                <w:lang w:val="en-US" w:eastAsia="zh-CN" w:bidi="ar-SA"/>
              </w:rPr>
              <w:t>除尘器</w:t>
            </w:r>
            <w:r>
              <w:rPr>
                <w:rFonts w:hint="default" w:ascii="Times New Roman" w:hAnsi="Times New Roman" w:eastAsia="宋体" w:cs="Times New Roman"/>
                <w:snapToGrid w:val="0"/>
                <w:color w:val="auto"/>
                <w:kern w:val="0"/>
                <w:sz w:val="24"/>
                <w:szCs w:val="24"/>
                <w:highlight w:val="none"/>
                <w:lang w:val="en-US" w:eastAsia="zh-CN" w:bidi="ar-SA"/>
              </w:rPr>
              <w:t>的生物质锅炉在正常运行时，可以达到《锅炉大气污染物排放标准》（GB13271-2014）的排放标准，是一种可再生能源，国家各部门都在积极推进生物质成型燃料的开发和利用。</w:t>
            </w:r>
          </w:p>
          <w:p w14:paraId="6E2DC3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为有效推动生物质成型燃料的使用，国家发展改革委、国家能源局与生态环境部（原环境保护部）联合发布《关于印发能源行业加强大气污染防治工作方案的通知》（发改新能〔2014〕506号），通知要求：2015年，全国生物质能利用规模5000万吨标煤；2017年生物质能利用规模7000万吨标煤。重点推动生物质热电联产综合利用，加快生物质能供热应用，2017年，实现生物质固体成型燃料利用量超过1500万吨。2017年底前，每年新增生物质能供热面积350万平方米，每年新增生物质能工业供热利用量150万吨标煤。</w:t>
            </w:r>
          </w:p>
          <w:p w14:paraId="18801C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此外，生态环境部（原环境保护部）联合国家能源局发布《关于开展生物质成型燃料锅炉供热示范项目建设的通知》（国能新能〔2014〕295号）和《关于加强生物质成型燃料锅炉供热示范项目建设管理工作有关要求的通知》</w:t>
            </w:r>
            <w:r>
              <w:rPr>
                <w:rFonts w:hint="eastAsia" w:ascii="Times New Roman" w:hAnsi="Times New Roman" w:cs="Times New Roman"/>
                <w:snapToGrid w:val="0"/>
                <w:color w:val="auto"/>
                <w:kern w:val="0"/>
                <w:sz w:val="24"/>
                <w:szCs w:val="24"/>
                <w:highlight w:val="none"/>
                <w:lang w:val="en-US" w:eastAsia="zh-CN" w:bidi="ar-SA"/>
              </w:rPr>
              <w:t>（</w:t>
            </w:r>
            <w:r>
              <w:rPr>
                <w:rFonts w:hint="default" w:ascii="Times New Roman" w:hAnsi="Times New Roman" w:eastAsia="宋体" w:cs="Times New Roman"/>
                <w:snapToGrid w:val="0"/>
                <w:color w:val="auto"/>
                <w:kern w:val="0"/>
                <w:sz w:val="24"/>
                <w:szCs w:val="24"/>
                <w:highlight w:val="none"/>
                <w:lang w:val="en-US" w:eastAsia="zh-CN" w:bidi="ar-SA"/>
              </w:rPr>
              <w:t>国能新能〔2014〕520号</w:t>
            </w:r>
            <w:r>
              <w:rPr>
                <w:rFonts w:hint="eastAsia" w:ascii="Times New Roman" w:hAnsi="Times New Roman" w:cs="Times New Roman"/>
                <w:snapToGrid w:val="0"/>
                <w:color w:val="auto"/>
                <w:kern w:val="0"/>
                <w:sz w:val="24"/>
                <w:szCs w:val="24"/>
                <w:highlight w:val="none"/>
                <w:lang w:val="en-US" w:eastAsia="zh-CN" w:bidi="ar-SA"/>
              </w:rPr>
              <w:t>）</w:t>
            </w:r>
            <w:r>
              <w:rPr>
                <w:rFonts w:hint="default" w:ascii="Times New Roman" w:hAnsi="Times New Roman" w:eastAsia="宋体" w:cs="Times New Roman"/>
                <w:snapToGrid w:val="0"/>
                <w:color w:val="auto"/>
                <w:kern w:val="0"/>
                <w:sz w:val="24"/>
                <w:szCs w:val="24"/>
                <w:highlight w:val="none"/>
                <w:lang w:val="en-US" w:eastAsia="zh-CN" w:bidi="ar-SA"/>
              </w:rPr>
              <w:t>，文件中明确指出：生物质成型燃料锅炉供热是绿色低碳环保经济的分布式可再生能源，是替代化石能源供热，防治大气污染的重要措施，也可以构建城镇可再生能源体系，文件对生物质成型燃料和锅炉等内容做出了明确规定。</w:t>
            </w:r>
          </w:p>
          <w:p w14:paraId="142440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根据生态环境部（原环境保护部）部长信箱的回复，生物质颗粒是绿色低碳环保经济的分布式可再生能源，且根据生物质燃料加工企业提供的生物质颗粒性质，本项目使用的生物质颗粒中硫分为0.040%（燃料组分详见附件</w:t>
            </w:r>
            <w:r>
              <w:rPr>
                <w:rFonts w:hint="default" w:ascii="Times New Roman" w:hAnsi="Times New Roman" w:cs="Times New Roman"/>
                <w:snapToGrid w:val="0"/>
                <w:color w:val="auto"/>
                <w:kern w:val="0"/>
                <w:sz w:val="24"/>
                <w:szCs w:val="24"/>
                <w:highlight w:val="none"/>
                <w:lang w:val="en-US" w:eastAsia="zh-CN" w:bidi="ar-SA"/>
              </w:rPr>
              <w:t>4</w:t>
            </w:r>
            <w:r>
              <w:rPr>
                <w:rFonts w:hint="default" w:ascii="Times New Roman" w:hAnsi="Times New Roman" w:eastAsia="宋体" w:cs="Times New Roman"/>
                <w:snapToGrid w:val="0"/>
                <w:color w:val="auto"/>
                <w:kern w:val="0"/>
                <w:sz w:val="24"/>
                <w:szCs w:val="24"/>
                <w:highlight w:val="none"/>
                <w:lang w:val="en-US" w:eastAsia="zh-CN" w:bidi="ar-SA"/>
              </w:rPr>
              <w:t>），故本项目使用生物质热风炉作为热源是合理可行环保的。</w:t>
            </w:r>
          </w:p>
          <w:p w14:paraId="0299BE60">
            <w:pPr>
              <w:widowControl/>
              <w:shd w:val="clear" w:color="auto" w:fill="auto"/>
              <w:adjustRightInd w:val="0"/>
              <w:snapToGrid w:val="0"/>
              <w:spacing w:line="360" w:lineRule="auto"/>
              <w:jc w:val="left"/>
              <w:rPr>
                <w:rFonts w:hint="default" w:ascii="Times New Roman" w:hAnsi="Times New Roman" w:cs="Times New Roman"/>
                <w:b/>
                <w:bCs/>
                <w:color w:val="auto"/>
                <w:sz w:val="24"/>
                <w:szCs w:val="24"/>
                <w:highlight w:val="none"/>
              </w:rPr>
            </w:pPr>
            <w:r>
              <w:rPr>
                <w:rFonts w:hint="default" w:ascii="Times New Roman" w:hAnsi="Times New Roman" w:eastAsia="宋体" w:cs="Times New Roman"/>
                <w:b/>
                <w:bCs/>
                <w:snapToGrid w:val="0"/>
                <w:color w:val="auto"/>
                <w:kern w:val="0"/>
                <w:sz w:val="24"/>
                <w:highlight w:val="none"/>
                <w:lang w:val="en-US" w:eastAsia="zh-CN"/>
              </w:rPr>
              <w:t>8、</w:t>
            </w:r>
            <w:r>
              <w:rPr>
                <w:rFonts w:hint="default" w:ascii="Times New Roman" w:hAnsi="Times New Roman" w:cs="Times New Roman"/>
                <w:b/>
                <w:bCs/>
                <w:color w:val="auto"/>
                <w:kern w:val="0"/>
                <w:sz w:val="24"/>
                <w:szCs w:val="24"/>
                <w:highlight w:val="none"/>
                <w:lang w:bidi="ar"/>
              </w:rPr>
              <w:t>与《新疆维吾尔自治区2025年空气质量持续改善行动实施方案》（新政办发〔2024〕58号）符合性分析</w:t>
            </w:r>
          </w:p>
          <w:p w14:paraId="62920A53">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2024年12月10日</w:t>
            </w:r>
            <w:r>
              <w:rPr>
                <w:rFonts w:hint="eastAsia" w:ascii="Times New Roman" w:hAnsi="Times New Roman" w:cs="Times New Roman"/>
                <w:color w:val="auto"/>
                <w:kern w:val="0"/>
                <w:sz w:val="24"/>
                <w:szCs w:val="24"/>
                <w:highlight w:val="none"/>
                <w:lang w:eastAsia="zh-CN" w:bidi="ar"/>
              </w:rPr>
              <w:t>，</w:t>
            </w:r>
            <w:r>
              <w:rPr>
                <w:rFonts w:hint="default" w:ascii="Times New Roman" w:hAnsi="Times New Roman" w:cs="Times New Roman"/>
                <w:color w:val="auto"/>
                <w:kern w:val="0"/>
                <w:sz w:val="24"/>
                <w:szCs w:val="24"/>
                <w:highlight w:val="none"/>
                <w:lang w:bidi="ar"/>
              </w:rPr>
              <w:t>新疆维吾尔自治区人民政府办公厅 新疆生产建设兵团办公厅关于印发《新疆维吾尔自治区2025年空气质量持续改善行动实施方案》的通知（新政办发2024〕58号）</w:t>
            </w:r>
            <w:r>
              <w:rPr>
                <w:rFonts w:hint="eastAsia" w:ascii="Times New Roman" w:hAnsi="Times New Roman" w:cs="Times New Roman"/>
                <w:color w:val="auto"/>
                <w:kern w:val="0"/>
                <w:sz w:val="24"/>
                <w:szCs w:val="24"/>
                <w:highlight w:val="none"/>
                <w:lang w:eastAsia="zh-CN" w:bidi="ar"/>
              </w:rPr>
              <w:t>，</w:t>
            </w:r>
            <w:r>
              <w:rPr>
                <w:rFonts w:hint="default" w:ascii="Times New Roman" w:hAnsi="Times New Roman" w:cs="Times New Roman"/>
                <w:color w:val="auto"/>
                <w:kern w:val="0"/>
                <w:sz w:val="24"/>
                <w:szCs w:val="24"/>
                <w:highlight w:val="none"/>
                <w:lang w:bidi="ar"/>
              </w:rPr>
              <w:t>作出如下要求：</w:t>
            </w:r>
          </w:p>
          <w:p w14:paraId="7766DA6C">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w:t>
            </w:r>
            <w:r>
              <w:rPr>
                <w:rFonts w:hint="eastAsia" w:ascii="Times New Roman" w:hAnsi="Times New Roman" w:cs="Times New Roman"/>
                <w:color w:val="auto"/>
                <w:kern w:val="0"/>
                <w:sz w:val="24"/>
                <w:szCs w:val="24"/>
                <w:highlight w:val="none"/>
                <w:lang w:val="en-US" w:eastAsia="zh-CN" w:bidi="ar"/>
              </w:rPr>
              <w:t>一</w:t>
            </w:r>
            <w:r>
              <w:rPr>
                <w:rFonts w:hint="default" w:ascii="Times New Roman" w:hAnsi="Times New Roman" w:cs="Times New Roman"/>
                <w:color w:val="auto"/>
                <w:kern w:val="0"/>
                <w:sz w:val="24"/>
                <w:szCs w:val="24"/>
                <w:highlight w:val="none"/>
                <w:lang w:bidi="ar"/>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w:t>
            </w:r>
          </w:p>
          <w:p w14:paraId="403C2AFC">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（十三）持续强化扬尘污染综合管控。施工场地严格落实“六个百分百”要求。扬尘污染防治费用纳入工程造价，3000m</w:t>
            </w:r>
            <w:r>
              <w:rPr>
                <w:rFonts w:hint="default" w:ascii="Times New Roman" w:hAnsi="Times New Roman" w:cs="Times New Roman"/>
                <w:color w:val="auto"/>
                <w:kern w:val="0"/>
                <w:sz w:val="24"/>
                <w:szCs w:val="24"/>
                <w:highlight w:val="none"/>
                <w:vertAlign w:val="superscript"/>
                <w:lang w:bidi="ar"/>
              </w:rPr>
              <w:t>2</w:t>
            </w:r>
            <w:r>
              <w:rPr>
                <w:rFonts w:hint="default" w:ascii="Times New Roman" w:hAnsi="Times New Roman" w:cs="Times New Roman"/>
                <w:color w:val="auto"/>
                <w:kern w:val="0"/>
                <w:sz w:val="24"/>
                <w:szCs w:val="24"/>
                <w:highlight w:val="none"/>
                <w:lang w:bidi="ar"/>
              </w:rPr>
              <w:t>及以上建筑工地安装视频监控并接入当地监管平台。</w:t>
            </w:r>
          </w:p>
          <w:p w14:paraId="6C8B2420">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本项目符合性：</w:t>
            </w:r>
          </w:p>
          <w:p w14:paraId="0A951F8B">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w:t>
            </w:r>
            <w:r>
              <w:rPr>
                <w:rFonts w:hint="eastAsia" w:ascii="Times New Roman" w:hAnsi="Times New Roman" w:cs="Times New Roman"/>
                <w:color w:val="auto"/>
                <w:kern w:val="0"/>
                <w:sz w:val="24"/>
                <w:szCs w:val="24"/>
                <w:highlight w:val="none"/>
                <w:lang w:val="en-US" w:eastAsia="zh-CN" w:bidi="ar"/>
              </w:rPr>
              <w:t>一</w:t>
            </w:r>
            <w:r>
              <w:rPr>
                <w:rFonts w:hint="default" w:ascii="Times New Roman" w:hAnsi="Times New Roman" w:cs="Times New Roman"/>
                <w:color w:val="auto"/>
                <w:kern w:val="0"/>
                <w:sz w:val="24"/>
                <w:szCs w:val="24"/>
                <w:highlight w:val="none"/>
                <w:lang w:bidi="ar"/>
              </w:rPr>
              <w:t>）</w:t>
            </w:r>
            <w:r>
              <w:rPr>
                <w:rFonts w:hint="default" w:ascii="Times New Roman" w:hAnsi="Times New Roman" w:cs="Times New Roman"/>
                <w:color w:val="auto"/>
                <w:sz w:val="24"/>
                <w:szCs w:val="24"/>
                <w:highlight w:val="none"/>
              </w:rPr>
              <w:t>本项目为</w:t>
            </w:r>
            <w:r>
              <w:rPr>
                <w:rFonts w:hint="eastAsia" w:ascii="Times New Roman" w:hAnsi="Times New Roman" w:cs="Times New Roman"/>
                <w:color w:val="auto"/>
                <w:sz w:val="24"/>
                <w:szCs w:val="24"/>
                <w:highlight w:val="none"/>
                <w:lang w:val="en-US" w:eastAsia="zh-CN"/>
              </w:rPr>
              <w:t>玉米烘干</w:t>
            </w:r>
            <w:r>
              <w:rPr>
                <w:rFonts w:hint="default" w:ascii="Times New Roman" w:hAnsi="Times New Roman" w:cs="Times New Roman"/>
                <w:color w:val="auto"/>
                <w:sz w:val="24"/>
                <w:szCs w:val="24"/>
                <w:highlight w:val="none"/>
              </w:rPr>
              <w:t>项目，不属于</w:t>
            </w:r>
            <w:r>
              <w:rPr>
                <w:rFonts w:hint="default" w:ascii="Times New Roman" w:hAnsi="Times New Roman" w:cs="Times New Roman"/>
                <w:color w:val="auto"/>
                <w:kern w:val="0"/>
                <w:sz w:val="24"/>
                <w:szCs w:val="24"/>
                <w:highlight w:val="none"/>
                <w:lang w:bidi="ar"/>
              </w:rPr>
              <w:t>高耗能、高排放、低水平</w:t>
            </w:r>
            <w:r>
              <w:rPr>
                <w:rFonts w:hint="eastAsia" w:ascii="Times New Roman" w:hAnsi="Times New Roman" w:cs="Times New Roman"/>
                <w:color w:val="auto"/>
                <w:kern w:val="0"/>
                <w:sz w:val="24"/>
                <w:szCs w:val="24"/>
                <w:highlight w:val="none"/>
                <w:lang w:val="en-US" w:eastAsia="zh-CN" w:bidi="ar"/>
              </w:rPr>
              <w:t>项目</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项目建设符合</w:t>
            </w:r>
            <w:r>
              <w:rPr>
                <w:rFonts w:hint="default" w:ascii="Times New Roman" w:hAnsi="Times New Roman" w:cs="Times New Roman"/>
                <w:color w:val="auto"/>
                <w:kern w:val="0"/>
                <w:sz w:val="24"/>
                <w:szCs w:val="24"/>
                <w:highlight w:val="none"/>
                <w:lang w:bidi="ar"/>
              </w:rPr>
              <w:t>国家和自治区产业规划、产业政策、生态环境分区管控方案。</w:t>
            </w:r>
          </w:p>
          <w:p w14:paraId="248997F1">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（十三）</w:t>
            </w:r>
            <w:r>
              <w:rPr>
                <w:rFonts w:hint="eastAsia" w:ascii="Times New Roman" w:hAnsi="Times New Roman" w:cs="Times New Roman"/>
                <w:color w:val="auto"/>
                <w:kern w:val="0"/>
                <w:sz w:val="24"/>
                <w:szCs w:val="24"/>
                <w:highlight w:val="none"/>
                <w:lang w:val="en-US" w:eastAsia="zh-CN" w:bidi="ar"/>
              </w:rPr>
              <w:t>项目</w:t>
            </w:r>
            <w:r>
              <w:rPr>
                <w:rFonts w:hint="default" w:ascii="Times New Roman" w:hAnsi="Times New Roman" w:cs="Times New Roman"/>
                <w:color w:val="auto"/>
                <w:kern w:val="0"/>
                <w:sz w:val="24"/>
                <w:szCs w:val="24"/>
                <w:highlight w:val="none"/>
                <w:lang w:bidi="ar"/>
              </w:rPr>
              <w:t>施工场地严格落实“六个百分百”要求。扬尘污染防治费用纳入工程造价</w:t>
            </w:r>
            <w:r>
              <w:rPr>
                <w:rFonts w:hint="eastAsia" w:ascii="Times New Roman" w:hAnsi="Times New Roman" w:cs="Times New Roman"/>
                <w:color w:val="auto"/>
                <w:kern w:val="0"/>
                <w:sz w:val="24"/>
                <w:szCs w:val="24"/>
                <w:highlight w:val="none"/>
                <w:lang w:eastAsia="zh-CN" w:bidi="ar"/>
              </w:rPr>
              <w:t>，</w:t>
            </w:r>
            <w:r>
              <w:rPr>
                <w:rFonts w:hint="eastAsia" w:ascii="Times New Roman" w:hAnsi="Times New Roman" w:cs="Times New Roman"/>
                <w:color w:val="auto"/>
                <w:kern w:val="0"/>
                <w:sz w:val="24"/>
                <w:szCs w:val="24"/>
                <w:highlight w:val="none"/>
                <w:lang w:val="en-US" w:eastAsia="zh-CN" w:bidi="ar"/>
              </w:rPr>
              <w:t>项目施工前已结束，施工期间按要求采取了各项扬尘防治措施</w:t>
            </w:r>
            <w:r>
              <w:rPr>
                <w:rFonts w:hint="default" w:ascii="Times New Roman" w:hAnsi="Times New Roman" w:cs="Times New Roman"/>
                <w:color w:val="auto"/>
                <w:kern w:val="0"/>
                <w:sz w:val="24"/>
                <w:szCs w:val="24"/>
                <w:highlight w:val="none"/>
                <w:lang w:bidi="ar"/>
              </w:rPr>
              <w:t>。</w:t>
            </w:r>
          </w:p>
          <w:p w14:paraId="35F803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szCs w:val="24"/>
                <w:highlight w:val="none"/>
                <w:lang w:bidi="ar"/>
              </w:rPr>
              <w:t>综上所述，本项目符合《新疆维吾尔自治区2025年空气质量持续改善行动实施方案》要求。</w:t>
            </w:r>
          </w:p>
          <w:p w14:paraId="7817312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auto"/>
                <w:sz w:val="24"/>
                <w:szCs w:val="24"/>
                <w:highlight w:val="none"/>
                <w:lang w:val="en-US"/>
              </w:rPr>
            </w:pPr>
            <w:r>
              <w:rPr>
                <w:rFonts w:hint="eastAsia" w:cs="Times New Roman"/>
                <w:b/>
                <w:bCs/>
                <w:color w:val="auto"/>
                <w:sz w:val="24"/>
                <w:szCs w:val="24"/>
                <w:highlight w:val="none"/>
                <w:lang w:val="en-US" w:eastAsia="zh-CN"/>
              </w:rPr>
              <w:t>9</w:t>
            </w:r>
            <w:r>
              <w:rPr>
                <w:rFonts w:hint="default" w:ascii="Times New Roman" w:hAnsi="Times New Roman" w:cs="Times New Roman"/>
                <w:b/>
                <w:bCs/>
                <w:color w:val="auto"/>
                <w:sz w:val="24"/>
                <w:szCs w:val="24"/>
                <w:highlight w:val="none"/>
                <w:lang w:val="en-US"/>
              </w:rPr>
              <w:t>、选址合理性分析</w:t>
            </w:r>
          </w:p>
          <w:p w14:paraId="1B85114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项目场地现为</w:t>
            </w:r>
            <w:r>
              <w:rPr>
                <w:rFonts w:hint="eastAsia" w:cs="Times New Roman"/>
                <w:i w:val="0"/>
                <w:iCs w:val="0"/>
                <w:color w:val="auto"/>
                <w:sz w:val="24"/>
                <w:szCs w:val="24"/>
                <w:highlight w:val="none"/>
                <w:lang w:val="en-US" w:eastAsia="zh-CN"/>
              </w:rPr>
              <w:t>二类工业</w:t>
            </w:r>
            <w:r>
              <w:rPr>
                <w:rFonts w:hint="default" w:ascii="Times New Roman" w:hAnsi="Times New Roman" w:cs="Times New Roman"/>
                <w:i w:val="0"/>
                <w:iCs w:val="0"/>
                <w:color w:val="auto"/>
                <w:sz w:val="24"/>
                <w:szCs w:val="24"/>
                <w:highlight w:val="none"/>
                <w:lang w:val="en-US"/>
              </w:rPr>
              <w:t>用地</w:t>
            </w:r>
            <w:r>
              <w:rPr>
                <w:rFonts w:hint="default" w:ascii="Times New Roman" w:hAnsi="Times New Roman" w:cs="Times New Roman"/>
                <w:color w:val="auto"/>
                <w:sz w:val="24"/>
                <w:szCs w:val="24"/>
                <w:highlight w:val="none"/>
                <w:lang w:val="en-US"/>
              </w:rPr>
              <w:t>，地势平坦，微地貌变化不大。场地无不良地质现象存在，也没有大的活动性构造通过，场地区域稳定性较好，属于可进行工程建设的一般型场地，工程地质条件较好。</w:t>
            </w:r>
          </w:p>
          <w:p w14:paraId="0D5D70E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本项目位于</w:t>
            </w:r>
            <w:r>
              <w:rPr>
                <w:rFonts w:hint="default" w:ascii="Times New Roman" w:hAnsi="Times New Roman" w:cs="Times New Roman"/>
                <w:color w:val="auto"/>
                <w:sz w:val="24"/>
                <w:szCs w:val="24"/>
                <w:highlight w:val="none"/>
                <w:lang w:val="en-US" w:eastAsia="zh-CN"/>
              </w:rPr>
              <w:t>第七师胡杨河市129团</w:t>
            </w:r>
            <w:r>
              <w:rPr>
                <w:rFonts w:hint="default" w:ascii="Times New Roman" w:hAnsi="Times New Roman" w:cs="Times New Roman"/>
                <w:color w:val="auto"/>
                <w:sz w:val="24"/>
                <w:szCs w:val="24"/>
                <w:highlight w:val="none"/>
                <w:lang w:val="en-US"/>
              </w:rPr>
              <w:t>，属于</w:t>
            </w:r>
            <w:r>
              <w:rPr>
                <w:rFonts w:hint="default" w:ascii="Times New Roman" w:hAnsi="Times New Roman" w:cs="Times New Roman"/>
                <w:color w:val="auto"/>
                <w:sz w:val="24"/>
                <w:szCs w:val="24"/>
                <w:highlight w:val="none"/>
                <w:lang w:val="en-US" w:eastAsia="zh-CN"/>
              </w:rPr>
              <w:t>团场</w:t>
            </w:r>
            <w:r>
              <w:rPr>
                <w:rFonts w:hint="default" w:ascii="Times New Roman" w:hAnsi="Times New Roman" w:cs="Times New Roman"/>
                <w:color w:val="auto"/>
                <w:sz w:val="24"/>
                <w:szCs w:val="24"/>
                <w:highlight w:val="none"/>
                <w:lang w:val="en-US"/>
              </w:rPr>
              <w:t>集体所有的建设用地。</w:t>
            </w:r>
          </w:p>
          <w:p w14:paraId="0D21444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本项目不在自然保护区、水源保护区、基本农田保护区内，项目所在区域内无重要环境敏感点，条件优越，厂址符合土地用途管理和规划功能要求，且交通十分便利。故项目选址可行。</w:t>
            </w:r>
          </w:p>
          <w:p w14:paraId="127C36E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本项目西</w:t>
            </w:r>
            <w:r>
              <w:rPr>
                <w:rFonts w:hint="default" w:ascii="Times New Roman" w:hAnsi="Times New Roman" w:cs="Times New Roman"/>
                <w:color w:val="auto"/>
                <w:sz w:val="24"/>
                <w:szCs w:val="24"/>
                <w:highlight w:val="none"/>
                <w:lang w:val="en-US" w:eastAsia="zh-CN"/>
              </w:rPr>
              <w:t>西偏南约700处为</w:t>
            </w:r>
            <w:r>
              <w:rPr>
                <w:rFonts w:hint="default" w:ascii="Times New Roman" w:hAnsi="Times New Roman" w:cs="Times New Roman"/>
                <w:color w:val="auto"/>
                <w:sz w:val="24"/>
                <w:szCs w:val="24"/>
                <w:highlight w:val="none"/>
                <w:lang w:val="en-US"/>
              </w:rPr>
              <w:t>居住区，首先本项目的建设，是为了满足</w:t>
            </w:r>
            <w:r>
              <w:rPr>
                <w:rFonts w:hint="default" w:ascii="Times New Roman" w:hAnsi="Times New Roman" w:cs="Times New Roman"/>
                <w:color w:val="auto"/>
                <w:sz w:val="24"/>
                <w:szCs w:val="24"/>
                <w:highlight w:val="none"/>
                <w:lang w:val="en-US" w:eastAsia="zh-CN"/>
              </w:rPr>
              <w:t>兵团第七师129团</w:t>
            </w:r>
            <w:r>
              <w:rPr>
                <w:rFonts w:hint="eastAsia" w:ascii="Times New Roman" w:hAnsi="Times New Roman" w:cs="Times New Roman"/>
                <w:color w:val="auto"/>
                <w:sz w:val="24"/>
                <w:szCs w:val="24"/>
                <w:highlight w:val="none"/>
                <w:lang w:val="en-US" w:eastAsia="zh-CN"/>
              </w:rPr>
              <w:t>及</w:t>
            </w:r>
            <w:r>
              <w:rPr>
                <w:rFonts w:hint="default" w:ascii="Times New Roman" w:hAnsi="Times New Roman" w:cs="Times New Roman"/>
                <w:color w:val="auto"/>
                <w:sz w:val="24"/>
                <w:szCs w:val="24"/>
                <w:highlight w:val="none"/>
                <w:lang w:val="en-US" w:eastAsia="zh-CN"/>
              </w:rPr>
              <w:t>周边</w:t>
            </w:r>
            <w:r>
              <w:rPr>
                <w:rFonts w:hint="default" w:ascii="Times New Roman" w:hAnsi="Times New Roman" w:cs="Times New Roman"/>
                <w:color w:val="auto"/>
                <w:sz w:val="24"/>
                <w:szCs w:val="24"/>
                <w:highlight w:val="none"/>
                <w:lang w:val="en-US"/>
              </w:rPr>
              <w:t>种植的玉米烘干要求，</w:t>
            </w:r>
            <w:r>
              <w:rPr>
                <w:rFonts w:hint="default" w:ascii="Times New Roman" w:hAnsi="Times New Roman" w:cs="Times New Roman"/>
                <w:color w:val="auto"/>
                <w:sz w:val="24"/>
                <w:szCs w:val="24"/>
                <w:highlight w:val="none"/>
                <w:lang w:val="en-US" w:eastAsia="zh-CN"/>
              </w:rPr>
              <w:t>居民</w:t>
            </w:r>
            <w:r>
              <w:rPr>
                <w:rFonts w:hint="default" w:ascii="Times New Roman" w:hAnsi="Times New Roman" w:cs="Times New Roman"/>
                <w:color w:val="auto"/>
                <w:sz w:val="24"/>
                <w:szCs w:val="24"/>
                <w:highlight w:val="none"/>
                <w:lang w:val="en-US"/>
              </w:rPr>
              <w:t>均理解并支持本项目的建设，其次，项目的建设采取了各项较为严格的环境保护措施，确保各项污染物均可达标排放，对周边居民的影响是可接受的。而且建设单位拟在西侧、南侧均种植一定高度的绿化带，用于进一步降低颗粒物、噪声对居民区的影响。综上，项目的选址从周边环境相容性上是合理可行的。</w:t>
            </w:r>
          </w:p>
          <w:p w14:paraId="03A1D4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项目所在地为用地性质为建设用地，行业类别符合规划的产业准入条件，本项目非“三高”项目，污染源采取相应污染防治措施后可实现稳定达标排放，故项目的建设符合</w:t>
            </w:r>
            <w:r>
              <w:rPr>
                <w:rFonts w:hint="default"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rPr>
              <w:t>的规划。</w:t>
            </w:r>
          </w:p>
          <w:p w14:paraId="13E68A1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项目建成后，“三废”污染可以控制在较小的程度，对周边环境影响较小，不会改变区域现有环境功能，从环保角度考虑，本项目选址是可行的。</w:t>
            </w:r>
          </w:p>
          <w:p w14:paraId="59B9AE62">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303FCF12">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161F7CB3">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71CDD5ED">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58A85769">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53996FD7">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0B0D1A07">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1502F521">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p w14:paraId="0029B8C3">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color w:val="auto"/>
                <w:kern w:val="2"/>
                <w:sz w:val="24"/>
                <w:szCs w:val="24"/>
                <w:highlight w:val="none"/>
                <w:lang w:val="en-US" w:eastAsia="zh-CN" w:bidi="ar-SA"/>
              </w:rPr>
            </w:pPr>
          </w:p>
        </w:tc>
      </w:tr>
    </w:tbl>
    <w:p w14:paraId="6ABC9150">
      <w:pPr>
        <w:pStyle w:val="9"/>
        <w:rPr>
          <w:rFonts w:hint="default" w:ascii="Times New Roman" w:hAnsi="Times New Roman" w:cs="Times New Roman"/>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5065D5D">
      <w:pPr>
        <w:pStyle w:val="18"/>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二、建设项目工程分析</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063"/>
      </w:tblGrid>
      <w:tr w14:paraId="7B53F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24" w:hRule="atLeast"/>
          <w:jc w:val="center"/>
        </w:trPr>
        <w:tc>
          <w:tcPr>
            <w:tcW w:w="708" w:type="dxa"/>
            <w:noWrap w:val="0"/>
            <w:vAlign w:val="center"/>
          </w:tcPr>
          <w:p w14:paraId="34F29ED6">
            <w:pPr>
              <w:pStyle w:val="18"/>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t>建设内容</w:t>
            </w:r>
          </w:p>
        </w:tc>
        <w:tc>
          <w:tcPr>
            <w:tcW w:w="8352" w:type="dxa"/>
            <w:noWrap w:val="0"/>
            <w:vAlign w:val="top"/>
          </w:tcPr>
          <w:p w14:paraId="76087860">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eastAsia="宋体" w:cs="Times New Roman"/>
                <w:b/>
                <w:bCs/>
                <w:snapToGrid w:val="0"/>
                <w:color w:val="auto"/>
                <w:kern w:val="0"/>
                <w:sz w:val="24"/>
                <w:highlight w:val="none"/>
                <w:lang w:val="en-US" w:eastAsia="zh-CN"/>
              </w:rPr>
              <w:t>1</w:t>
            </w:r>
            <w:r>
              <w:rPr>
                <w:rFonts w:hint="default" w:ascii="Times New Roman" w:hAnsi="Times New Roman" w:cs="Times New Roman"/>
                <w:b/>
                <w:bCs/>
                <w:snapToGrid w:val="0"/>
                <w:color w:val="auto"/>
                <w:kern w:val="0"/>
                <w:sz w:val="24"/>
                <w:highlight w:val="none"/>
                <w:lang w:val="en-US" w:eastAsia="zh-CN"/>
              </w:rPr>
              <w:t>、</w:t>
            </w:r>
            <w:r>
              <w:rPr>
                <w:rFonts w:hint="default" w:ascii="Times New Roman" w:hAnsi="Times New Roman" w:eastAsia="宋体" w:cs="Times New Roman"/>
                <w:b/>
                <w:bCs/>
                <w:snapToGrid w:val="0"/>
                <w:color w:val="auto"/>
                <w:kern w:val="0"/>
                <w:sz w:val="24"/>
                <w:highlight w:val="none"/>
                <w:lang w:val="en-US" w:eastAsia="zh-CN"/>
              </w:rPr>
              <w:t>项目背景</w:t>
            </w:r>
          </w:p>
          <w:p w14:paraId="6984F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napToGrid w:val="0"/>
                <w:color w:val="auto"/>
                <w:kern w:val="0"/>
                <w:sz w:val="24"/>
                <w:highlight w:val="none"/>
                <w:lang w:val="en-US" w:eastAsia="zh-CN"/>
              </w:rPr>
            </w:pPr>
            <w:r>
              <w:rPr>
                <w:rFonts w:hint="default" w:ascii="Times New Roman" w:hAnsi="Times New Roman" w:eastAsia="宋体" w:cs="Times New Roman"/>
                <w:b w:val="0"/>
                <w:bCs w:val="0"/>
                <w:snapToGrid w:val="0"/>
                <w:color w:val="auto"/>
                <w:kern w:val="0"/>
                <w:sz w:val="24"/>
                <w:highlight w:val="none"/>
                <w:lang w:val="en-US" w:eastAsia="zh-CN"/>
              </w:rPr>
              <w:t>在我国农业现代化进程不断加速的当下，玉米作为核心粮食作物，其产量与种植规模持续扩张。国家统计局数据显示，近年来国内玉米产量稳步上扬，这不仅反映出农业种植技术的进步，也凸显了玉米在粮食产业中的关键地位。然而，玉米收获季常与雨季重合，致使刚收获的玉米含水量普遍偏高，给储存与运输带来极大挑战。未经及时有效烘干处理的玉米，极易发生霉变，造成大量粮食浪费，不仅损害农民经济收益，还对国家粮食安全构成潜在威胁。</w:t>
            </w:r>
          </w:p>
          <w:p w14:paraId="268CC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napToGrid w:val="0"/>
                <w:color w:val="auto"/>
                <w:kern w:val="0"/>
                <w:sz w:val="24"/>
                <w:highlight w:val="none"/>
                <w:lang w:val="en-US" w:eastAsia="zh-CN"/>
              </w:rPr>
            </w:pPr>
            <w:r>
              <w:rPr>
                <w:rFonts w:hint="default" w:ascii="Times New Roman" w:hAnsi="Times New Roman" w:eastAsia="宋体" w:cs="Times New Roman"/>
                <w:b w:val="0"/>
                <w:bCs w:val="0"/>
                <w:snapToGrid w:val="0"/>
                <w:color w:val="auto"/>
                <w:kern w:val="0"/>
                <w:sz w:val="24"/>
                <w:highlight w:val="none"/>
                <w:lang w:val="en-US" w:eastAsia="zh-CN"/>
              </w:rPr>
              <w:t>从市场需求层面来看，玉米的应用领域极为广泛，涵盖饲料加工、食品生产、工业原料等多个行业，市场对优质烘干玉米的需求持续攀升。与此同时，随着消费者对食品安全与品质的关注度日益提高，对烘干玉米的质量标准也愈发严苛。在此形势下，提升玉米烘干产能与质量成为保障玉米产业稳健发展的当务之急。</w:t>
            </w:r>
          </w:p>
          <w:p w14:paraId="0AC33C7A">
            <w:pPr>
              <w:widowControl/>
              <w:shd w:val="clear" w:color="auto" w:fill="auto"/>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0"/>
                <w:sz w:val="24"/>
                <w:highlight w:val="none"/>
                <w:lang w:val="en-US" w:eastAsia="zh-CN"/>
              </w:rPr>
            </w:pPr>
            <w:r>
              <w:rPr>
                <w:rFonts w:hint="default" w:ascii="Times New Roman" w:hAnsi="Times New Roman" w:eastAsia="宋体" w:cs="Times New Roman"/>
                <w:b w:val="0"/>
                <w:bCs w:val="0"/>
                <w:snapToGrid w:val="0"/>
                <w:color w:val="auto"/>
                <w:kern w:val="0"/>
                <w:sz w:val="24"/>
                <w:highlight w:val="none"/>
                <w:lang w:val="en-US" w:eastAsia="zh-CN"/>
              </w:rPr>
              <w:t>本烘干厂新建年产1</w:t>
            </w:r>
            <w:r>
              <w:rPr>
                <w:rFonts w:hint="default" w:ascii="Times New Roman" w:hAnsi="Times New Roman" w:cs="Times New Roman"/>
                <w:b w:val="0"/>
                <w:bCs w:val="0"/>
                <w:snapToGrid w:val="0"/>
                <w:color w:val="auto"/>
                <w:kern w:val="0"/>
                <w:sz w:val="24"/>
                <w:highlight w:val="none"/>
                <w:lang w:val="en-US" w:eastAsia="zh-CN"/>
              </w:rPr>
              <w:t>2</w:t>
            </w:r>
            <w:r>
              <w:rPr>
                <w:rFonts w:hint="default" w:ascii="Times New Roman" w:hAnsi="Times New Roman" w:eastAsia="宋体" w:cs="Times New Roman"/>
                <w:b w:val="0"/>
                <w:bCs w:val="0"/>
                <w:snapToGrid w:val="0"/>
                <w:color w:val="auto"/>
                <w:kern w:val="0"/>
                <w:sz w:val="24"/>
                <w:highlight w:val="none"/>
                <w:lang w:val="en-US" w:eastAsia="zh-CN"/>
              </w:rPr>
              <w:t>万吨玉米项目，正是顺应这一行业发展趋势而规划。项目选址充分考量了原料供应、交通物流以及市场辐射等关键因素，旨在构建一个高效、环保且具备先进技术水平的现代化玉米烘干基地。项目建成后，将显著提升本地玉米烘干处理能力，有力保障玉米品质，为下游产业提供稳定优质的原料供应，同时促进农业增效、农民增收，助力区域经济实现可持续发展。</w:t>
            </w:r>
          </w:p>
          <w:p w14:paraId="5600A0F6">
            <w:pPr>
              <w:widowControl/>
              <w:shd w:val="clear" w:color="auto" w:fill="auto"/>
              <w:adjustRightInd w:val="0"/>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参考《&lt;建设项目环境影响评价分类管理名录（2021 年版）&gt;常见问题解答》，“粮食烘干项目，涉及建设粮食烘干塔的，根据名录“91 热力生产和供应工程</w:t>
            </w:r>
            <w:r>
              <w:rPr>
                <w:rFonts w:hint="default" w:ascii="Times New Roman" w:hAnsi="Times New Roman" w:cs="Times New Roman"/>
                <w:color w:val="auto"/>
                <w:kern w:val="0"/>
                <w:sz w:val="24"/>
                <w:szCs w:val="24"/>
                <w:highlight w:val="none"/>
                <w:lang w:eastAsia="zh-CN" w:bidi="ar"/>
              </w:rPr>
              <w:t>（</w:t>
            </w:r>
            <w:r>
              <w:rPr>
                <w:rFonts w:hint="default" w:ascii="Times New Roman" w:hAnsi="Times New Roman" w:cs="Times New Roman"/>
                <w:color w:val="auto"/>
                <w:kern w:val="0"/>
                <w:sz w:val="24"/>
                <w:szCs w:val="24"/>
                <w:highlight w:val="none"/>
                <w:lang w:bidi="ar"/>
              </w:rPr>
              <w:t>包括建设单位自建自用的供热工程）”相关规定，确定环评类别。</w:t>
            </w:r>
            <w:r>
              <w:rPr>
                <w:rFonts w:hint="default" w:ascii="Times New Roman" w:hAnsi="Times New Roman" w:cs="Times New Roman"/>
                <w:color w:val="auto"/>
                <w:kern w:val="0"/>
                <w:sz w:val="24"/>
                <w:szCs w:val="24"/>
                <w:highlight w:val="none"/>
                <w:lang w:val="en-US" w:eastAsia="zh-CN" w:bidi="ar"/>
              </w:rPr>
              <w:t>本项目</w:t>
            </w:r>
            <w:r>
              <w:rPr>
                <w:rFonts w:hint="default" w:ascii="Times New Roman" w:hAnsi="Times New Roman" w:cs="Times New Roman"/>
                <w:color w:val="auto"/>
                <w:kern w:val="0"/>
                <w:sz w:val="24"/>
                <w:szCs w:val="24"/>
                <w:highlight w:val="none"/>
                <w:lang w:bidi="ar"/>
              </w:rPr>
              <w:t>属于“四十一、电力、热力生产和供应业91热力生产和供应工程”</w:t>
            </w:r>
            <w:r>
              <w:rPr>
                <w:rFonts w:hint="default" w:ascii="Times New Roman" w:hAnsi="Times New Roman" w:cs="Times New Roman"/>
                <w:color w:val="auto"/>
                <w:kern w:val="0"/>
                <w:sz w:val="24"/>
                <w:szCs w:val="24"/>
                <w:highlight w:val="none"/>
                <w:lang w:val="en-US" w:eastAsia="zh-CN" w:bidi="ar"/>
              </w:rPr>
              <w:t>中</w:t>
            </w:r>
            <w:r>
              <w:rPr>
                <w:rFonts w:hint="default" w:ascii="Times New Roman" w:hAnsi="Times New Roman" w:cs="Times New Roman"/>
                <w:color w:val="auto"/>
                <w:kern w:val="0"/>
                <w:sz w:val="24"/>
                <w:szCs w:val="24"/>
                <w:highlight w:val="none"/>
                <w:lang w:bidi="ar"/>
              </w:rPr>
              <w:t>“</w:t>
            </w:r>
            <w:r>
              <w:rPr>
                <w:rFonts w:hint="default" w:ascii="Times New Roman" w:hAnsi="Times New Roman" w:cs="Times New Roman"/>
                <w:color w:val="auto"/>
                <w:kern w:val="0"/>
                <w:sz w:val="24"/>
                <w:szCs w:val="24"/>
                <w:highlight w:val="none"/>
                <w:lang w:val="en-US" w:eastAsia="zh-CN" w:bidi="ar"/>
              </w:rPr>
              <w:t>使用其他高污染燃料的</w:t>
            </w:r>
            <w:r>
              <w:rPr>
                <w:rFonts w:hint="default" w:ascii="Times New Roman" w:hAnsi="Times New Roman" w:cs="Times New Roman"/>
                <w:color w:val="auto"/>
                <w:kern w:val="0"/>
                <w:sz w:val="24"/>
                <w:szCs w:val="24"/>
                <w:highlight w:val="none"/>
                <w:lang w:bidi="ar"/>
              </w:rPr>
              <w:t>”，需编制环境影响报告表。为此，我公司接受委托后，随即组织环评技术人员进行现场踏勘、资料收集、自然环境与社会环境现状调查、环境质量现状调查及同类工程调查，在初步调查研究基础上，按照规范要求，编制完成了本报告表，并报生态环境行政主管部门审查。</w:t>
            </w:r>
          </w:p>
          <w:p w14:paraId="07EEEBB9">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eastAsia="宋体" w:cs="Times New Roman"/>
                <w:b/>
                <w:bCs/>
                <w:snapToGrid w:val="0"/>
                <w:color w:val="auto"/>
                <w:kern w:val="0"/>
                <w:sz w:val="24"/>
                <w:highlight w:val="none"/>
                <w:lang w:val="en-US" w:eastAsia="zh-CN"/>
              </w:rPr>
              <w:t>2</w:t>
            </w:r>
            <w:r>
              <w:rPr>
                <w:rFonts w:hint="default" w:ascii="Times New Roman" w:hAnsi="Times New Roman" w:cs="Times New Roman"/>
                <w:b/>
                <w:bCs/>
                <w:snapToGrid w:val="0"/>
                <w:color w:val="auto"/>
                <w:kern w:val="0"/>
                <w:sz w:val="24"/>
                <w:highlight w:val="none"/>
                <w:lang w:val="en-US" w:eastAsia="zh-CN"/>
              </w:rPr>
              <w:t>、</w:t>
            </w:r>
            <w:r>
              <w:rPr>
                <w:rFonts w:hint="default" w:ascii="Times New Roman" w:hAnsi="Times New Roman" w:eastAsia="宋体" w:cs="Times New Roman"/>
                <w:b/>
                <w:bCs/>
                <w:snapToGrid w:val="0"/>
                <w:color w:val="auto"/>
                <w:kern w:val="0"/>
                <w:sz w:val="24"/>
                <w:highlight w:val="none"/>
                <w:lang w:val="en-US" w:eastAsia="zh-CN"/>
              </w:rPr>
              <w:t>项目概况</w:t>
            </w:r>
          </w:p>
          <w:p w14:paraId="24023E34">
            <w:pPr>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2.1</w:t>
            </w:r>
            <w:r>
              <w:rPr>
                <w:rFonts w:hint="default" w:ascii="Times New Roman" w:hAnsi="Times New Roman" w:eastAsia="宋体" w:cs="Times New Roman"/>
                <w:b/>
                <w:color w:val="auto"/>
                <w:sz w:val="24"/>
                <w:highlight w:val="none"/>
              </w:rPr>
              <w:t>建设地点及性质</w:t>
            </w:r>
          </w:p>
          <w:p w14:paraId="24A42B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项目名称：</w:t>
            </w:r>
            <w:r>
              <w:rPr>
                <w:rFonts w:hint="default" w:ascii="Times New Roman" w:hAnsi="Times New Roman" w:cs="Times New Roman"/>
                <w:color w:val="auto"/>
                <w:sz w:val="24"/>
                <w:szCs w:val="24"/>
                <w:highlight w:val="none"/>
                <w:lang w:val="en-US" w:eastAsia="zh-CN"/>
              </w:rPr>
              <w:t>第七师129团玉米烘干厂建设项目</w:t>
            </w:r>
          </w:p>
          <w:p w14:paraId="29C9A2C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建设单位：</w:t>
            </w:r>
            <w:bookmarkStart w:id="126" w:name="_GoBack"/>
            <w:r>
              <w:rPr>
                <w:rFonts w:hint="default" w:ascii="Times New Roman" w:hAnsi="Times New Roman" w:cs="Times New Roman"/>
                <w:b w:val="0"/>
                <w:bCs w:val="0"/>
                <w:color w:val="auto"/>
                <w:sz w:val="24"/>
                <w:szCs w:val="24"/>
                <w:highlight w:val="none"/>
                <w:lang w:val="en-US" w:eastAsia="zh-CN"/>
              </w:rPr>
              <w:t>九垓粮枢农业（新疆）有限公司</w:t>
            </w:r>
            <w:bookmarkEnd w:id="126"/>
          </w:p>
          <w:p w14:paraId="5E60F7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建设</w:t>
            </w:r>
            <w:r>
              <w:rPr>
                <w:rFonts w:hint="default" w:ascii="Times New Roman" w:hAnsi="Times New Roman" w:cs="Times New Roman"/>
                <w:color w:val="auto"/>
                <w:kern w:val="0"/>
                <w:sz w:val="24"/>
                <w:szCs w:val="24"/>
                <w:highlight w:val="none"/>
                <w:lang w:val="en-US" w:eastAsia="zh-CN" w:bidi="ar-SA"/>
              </w:rPr>
              <w:t>性质：</w:t>
            </w:r>
            <w:r>
              <w:rPr>
                <w:rFonts w:hint="default" w:ascii="Times New Roman" w:hAnsi="Times New Roman" w:cs="Times New Roman"/>
                <w:color w:val="auto"/>
                <w:kern w:val="0"/>
                <w:sz w:val="24"/>
                <w:szCs w:val="24"/>
                <w:highlight w:val="none"/>
                <w:lang w:val="en-US" w:eastAsia="zh-CN"/>
              </w:rPr>
              <w:t>新建</w:t>
            </w:r>
          </w:p>
          <w:p w14:paraId="5B4A3A4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b w:val="0"/>
                <w:bCs w:val="0"/>
                <w:color w:val="auto"/>
                <w:sz w:val="24"/>
                <w:szCs w:val="24"/>
                <w:highlight w:val="none"/>
                <w:lang w:val="en-US" w:eastAsia="zh-CN"/>
              </w:rPr>
              <w:t>建设地点：</w:t>
            </w:r>
            <w:r>
              <w:rPr>
                <w:rFonts w:hint="default" w:ascii="Times New Roman" w:hAnsi="Times New Roman" w:eastAsia="宋体" w:cs="Times New Roman"/>
                <w:b w:val="0"/>
                <w:bCs w:val="0"/>
                <w:color w:val="auto"/>
                <w:sz w:val="24"/>
                <w:szCs w:val="24"/>
                <w:highlight w:val="none"/>
              </w:rPr>
              <w:t>项目</w:t>
            </w:r>
            <w:r>
              <w:rPr>
                <w:rFonts w:hint="default" w:ascii="Times New Roman" w:hAnsi="Times New Roman" w:eastAsia="宋体" w:cs="Times New Roman"/>
                <w:b w:val="0"/>
                <w:bCs w:val="0"/>
                <w:color w:val="auto"/>
                <w:sz w:val="24"/>
                <w:szCs w:val="24"/>
                <w:highlight w:val="none"/>
                <w:lang w:eastAsia="zh-CN"/>
              </w:rPr>
              <w:t>位于</w:t>
            </w:r>
            <w:r>
              <w:rPr>
                <w:rFonts w:hint="default" w:ascii="Times New Roman" w:hAnsi="Times New Roman" w:cs="Times New Roman"/>
                <w:color w:val="auto"/>
                <w:sz w:val="24"/>
                <w:szCs w:val="24"/>
                <w:highlight w:val="none"/>
                <w:lang w:val="en-US" w:eastAsia="zh-CN"/>
              </w:rPr>
              <w:t>第七师胡杨河市129团奎车公路以北、东羊场以东，中心</w:t>
            </w:r>
            <w:r>
              <w:rPr>
                <w:rFonts w:hint="default" w:ascii="Times New Roman" w:hAnsi="Times New Roman" w:eastAsia="宋体" w:cs="Times New Roman"/>
                <w:color w:val="auto"/>
                <w:kern w:val="0"/>
                <w:sz w:val="24"/>
                <w:szCs w:val="24"/>
                <w:highlight w:val="none"/>
                <w:lang w:val="en-US" w:eastAsia="zh-CN" w:bidi="ar-SA"/>
              </w:rPr>
              <w:t>地理坐标：</w:t>
            </w:r>
            <w:r>
              <w:rPr>
                <w:rFonts w:hint="default" w:ascii="Times New Roman" w:hAnsi="Times New Roman" w:eastAsia="宋体" w:cs="Times New Roman"/>
                <w:color w:val="auto"/>
                <w:sz w:val="24"/>
                <w:szCs w:val="24"/>
                <w:highlight w:val="none"/>
              </w:rPr>
              <w:t>E84°49′10.094″</w:t>
            </w:r>
            <w:r>
              <w:rPr>
                <w:rFonts w:hint="default"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sz w:val="24"/>
                <w:szCs w:val="24"/>
                <w:highlight w:val="none"/>
              </w:rPr>
              <w:t>N44°52′20.660″</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项目区东侧为养殖场和农田，西侧为奎北铁路线，南侧为空地，隔空地为奎车公路，北侧为新疆源润长盛物流有限公司</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bidi="ar-SA"/>
              </w:rPr>
              <w:t>地理位置</w:t>
            </w:r>
            <w:r>
              <w:rPr>
                <w:rFonts w:hint="default" w:ascii="Times New Roman" w:hAnsi="Times New Roman" w:eastAsia="宋体" w:cs="Times New Roman"/>
                <w:color w:val="auto"/>
                <w:kern w:val="0"/>
                <w:sz w:val="24"/>
                <w:szCs w:val="24"/>
                <w:highlight w:val="none"/>
                <w:lang w:val="en-US" w:eastAsia="zh-CN" w:bidi="ar-SA"/>
              </w:rPr>
              <w:t>图见</w:t>
            </w:r>
            <w:r>
              <w:rPr>
                <w:rFonts w:hint="default" w:ascii="Times New Roman" w:hAnsi="Times New Roman" w:cs="Times New Roman"/>
                <w:color w:val="auto"/>
                <w:kern w:val="0"/>
                <w:sz w:val="24"/>
                <w:szCs w:val="24"/>
                <w:highlight w:val="none"/>
                <w:lang w:val="en-US" w:eastAsia="zh-CN" w:bidi="ar-SA"/>
              </w:rPr>
              <w:t>附图3</w:t>
            </w:r>
            <w:r>
              <w:rPr>
                <w:rFonts w:hint="default" w:ascii="Times New Roman" w:hAnsi="Times New Roman" w:cs="Times New Roman"/>
                <w:color w:val="auto"/>
                <w:kern w:val="0"/>
                <w:sz w:val="24"/>
                <w:szCs w:val="24"/>
                <w:highlight w:val="none"/>
                <w:lang w:eastAsia="zh-CN"/>
              </w:rPr>
              <w:t>。</w:t>
            </w:r>
          </w:p>
          <w:p w14:paraId="721F1BD5">
            <w:pPr>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2.2</w:t>
            </w:r>
            <w:r>
              <w:rPr>
                <w:rFonts w:hint="default" w:ascii="Times New Roman" w:hAnsi="Times New Roman" w:eastAsia="宋体" w:cs="Times New Roman"/>
                <w:b/>
                <w:color w:val="auto"/>
                <w:sz w:val="24"/>
                <w:highlight w:val="none"/>
              </w:rPr>
              <w:t>建设规模及内容</w:t>
            </w:r>
          </w:p>
          <w:p w14:paraId="1592465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val="en-US" w:eastAsia="zh-CN"/>
              </w:rPr>
              <w:t>项目占地面积为20003.73m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建设内容主要为新建</w:t>
            </w:r>
            <w:r>
              <w:rPr>
                <w:rFonts w:hint="default" w:ascii="Times New Roman" w:hAnsi="Times New Roman" w:cs="Times New Roman"/>
                <w:color w:val="auto"/>
                <w:sz w:val="24"/>
                <w:szCs w:val="24"/>
                <w:highlight w:val="none"/>
                <w:lang w:val="en-US" w:eastAsia="zh-CN"/>
              </w:rPr>
              <w:t>两</w:t>
            </w:r>
            <w:r>
              <w:rPr>
                <w:rFonts w:hint="default" w:ascii="Times New Roman" w:hAnsi="Times New Roman" w:eastAsia="宋体" w:cs="Times New Roman"/>
                <w:color w:val="auto"/>
                <w:sz w:val="24"/>
                <w:szCs w:val="24"/>
                <w:highlight w:val="none"/>
                <w:lang w:val="en-US" w:eastAsia="zh-CN"/>
              </w:rPr>
              <w:t>台</w:t>
            </w:r>
            <w:r>
              <w:rPr>
                <w:rFonts w:hint="default" w:ascii="Times New Roman" w:hAnsi="Times New Roman"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val="en-US" w:eastAsia="zh-CN"/>
              </w:rPr>
              <w:t>t/h</w:t>
            </w:r>
            <w:r>
              <w:rPr>
                <w:rFonts w:hint="default" w:ascii="Times New Roman" w:hAnsi="Times New Roman" w:cs="Times New Roman"/>
                <w:color w:val="auto"/>
                <w:sz w:val="24"/>
                <w:szCs w:val="24"/>
                <w:highlight w:val="none"/>
                <w:lang w:val="en-US" w:eastAsia="zh-CN"/>
              </w:rPr>
              <w:t>生物质热风炉</w:t>
            </w:r>
            <w:r>
              <w:rPr>
                <w:rFonts w:hint="default" w:ascii="Times New Roman" w:hAnsi="Times New Roman" w:cs="Times New Roman"/>
                <w:color w:val="auto"/>
                <w:sz w:val="24"/>
                <w:szCs w:val="24"/>
                <w:highlight w:val="none"/>
                <w:vertAlign w:val="baseline"/>
                <w:lang w:val="en-US" w:eastAsia="zh-CN"/>
              </w:rPr>
              <w:t>，</w:t>
            </w:r>
            <w:r>
              <w:rPr>
                <w:rFonts w:hint="default" w:ascii="Times New Roman" w:hAnsi="Times New Roman" w:cs="Times New Roman"/>
                <w:color w:val="auto"/>
                <w:sz w:val="24"/>
                <w:szCs w:val="24"/>
                <w:highlight w:val="none"/>
                <w:lang w:val="en-US" w:eastAsia="zh-CN"/>
              </w:rPr>
              <w:t>两座</w:t>
            </w:r>
            <w:r>
              <w:rPr>
                <w:rFonts w:hint="default" w:ascii="Times New Roman" w:hAnsi="Times New Roman" w:eastAsia="宋体" w:cs="Times New Roman"/>
                <w:color w:val="auto"/>
                <w:sz w:val="24"/>
                <w:szCs w:val="24"/>
                <w:highlight w:val="none"/>
                <w:lang w:val="en-US" w:eastAsia="zh-CN"/>
              </w:rPr>
              <w:t>粮食烘干</w:t>
            </w:r>
            <w:r>
              <w:rPr>
                <w:rFonts w:hint="default" w:ascii="Times New Roman" w:hAnsi="Times New Roman" w:cs="Times New Roman"/>
                <w:color w:val="auto"/>
                <w:sz w:val="24"/>
                <w:szCs w:val="24"/>
                <w:highlight w:val="none"/>
                <w:lang w:val="en-US" w:eastAsia="zh-CN"/>
              </w:rPr>
              <w:t>塔，每座处理能力为12</w:t>
            </w:r>
            <w:r>
              <w:rPr>
                <w:rFonts w:hint="default" w:ascii="Times New Roman" w:hAnsi="Times New Roman" w:eastAsia="宋体" w:cs="Times New Roman"/>
                <w:color w:val="auto"/>
                <w:sz w:val="24"/>
                <w:szCs w:val="24"/>
                <w:highlight w:val="none"/>
                <w:lang w:val="en-US" w:eastAsia="zh-CN"/>
              </w:rPr>
              <w:t>00t/d，</w:t>
            </w:r>
            <w:r>
              <w:rPr>
                <w:rFonts w:hint="default" w:ascii="Times New Roman" w:hAnsi="Times New Roman" w:cs="Times New Roman"/>
                <w:color w:val="auto"/>
                <w:sz w:val="24"/>
                <w:szCs w:val="24"/>
                <w:highlight w:val="none"/>
                <w:lang w:val="en-US" w:eastAsia="zh-CN"/>
              </w:rPr>
              <w:t>配套建设湿粮仓、产品粮食平房仓、</w:t>
            </w:r>
            <w:r>
              <w:rPr>
                <w:rFonts w:hint="default" w:ascii="Times New Roman" w:hAnsi="Times New Roman" w:cs="Times New Roman"/>
                <w:color w:val="auto"/>
                <w:sz w:val="24"/>
                <w:szCs w:val="24"/>
                <w:highlight w:val="none"/>
                <w:vertAlign w:val="baseline"/>
                <w:lang w:val="en-US" w:eastAsia="zh-CN"/>
              </w:rPr>
              <w:t>附属用房和消防水池等</w:t>
            </w:r>
            <w:r>
              <w:rPr>
                <w:rFonts w:hint="default" w:ascii="Times New Roman" w:hAnsi="Times New Roman" w:eastAsia="宋体" w:cs="Times New Roman"/>
                <w:color w:val="auto"/>
                <w:sz w:val="24"/>
                <w:szCs w:val="24"/>
                <w:highlight w:val="none"/>
                <w:lang w:val="en-US" w:eastAsia="zh-CN"/>
              </w:rPr>
              <w:t>。</w:t>
            </w:r>
          </w:p>
          <w:p w14:paraId="1DFDC6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highlight w:val="none"/>
                <w:lang w:eastAsia="zh-CN"/>
              </w:rPr>
              <w:t>项目工程组成情况详见</w:t>
            </w:r>
            <w:r>
              <w:rPr>
                <w:rFonts w:hint="default" w:ascii="Times New Roman" w:hAnsi="Times New Roman" w:eastAsia="宋体" w:cs="Times New Roman"/>
                <w:color w:val="auto"/>
                <w:sz w:val="24"/>
                <w:highlight w:val="none"/>
                <w:lang w:val="en-US" w:eastAsia="zh-CN"/>
              </w:rPr>
              <w:t>表2-1。</w:t>
            </w:r>
          </w:p>
          <w:p w14:paraId="46C4DB7B">
            <w:pPr>
              <w:pStyle w:val="27"/>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表2-1    项目组成一览表</w:t>
            </w:r>
          </w:p>
          <w:tbl>
            <w:tblPr>
              <w:tblStyle w:val="19"/>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698"/>
              <w:gridCol w:w="496"/>
              <w:gridCol w:w="111"/>
              <w:gridCol w:w="816"/>
              <w:gridCol w:w="5072"/>
              <w:gridCol w:w="651"/>
            </w:tblGrid>
            <w:tr w14:paraId="255F4D7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48AB311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工程类别</w:t>
                  </w:r>
                </w:p>
              </w:tc>
              <w:tc>
                <w:tcPr>
                  <w:tcW w:w="907" w:type="pct"/>
                  <w:gridSpan w:val="3"/>
                  <w:tcBorders>
                    <w:tl2br w:val="nil"/>
                    <w:tr2bl w:val="nil"/>
                  </w:tcBorders>
                  <w:noWrap w:val="0"/>
                  <w:vAlign w:val="center"/>
                </w:tcPr>
                <w:p w14:paraId="456BA42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工程名称</w:t>
                  </w:r>
                </w:p>
              </w:tc>
              <w:tc>
                <w:tcPr>
                  <w:tcW w:w="3232" w:type="pct"/>
                  <w:tcBorders>
                    <w:tl2br w:val="nil"/>
                    <w:tr2bl w:val="nil"/>
                  </w:tcBorders>
                  <w:noWrap w:val="0"/>
                  <w:vAlign w:val="center"/>
                </w:tcPr>
                <w:p w14:paraId="6664966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主要内容</w:t>
                  </w:r>
                </w:p>
              </w:tc>
              <w:tc>
                <w:tcPr>
                  <w:tcW w:w="415" w:type="pct"/>
                  <w:tcBorders>
                    <w:tl2br w:val="nil"/>
                    <w:tr2bl w:val="nil"/>
                  </w:tcBorders>
                  <w:noWrap w:val="0"/>
                  <w:vAlign w:val="center"/>
                </w:tcPr>
                <w:p w14:paraId="3663ECF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备注</w:t>
                  </w:r>
                </w:p>
              </w:tc>
            </w:tr>
            <w:tr w14:paraId="4F23D9C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8" w:hRule="atLeast"/>
                <w:jc w:val="center"/>
              </w:trPr>
              <w:tc>
                <w:tcPr>
                  <w:tcW w:w="445" w:type="pct"/>
                  <w:vMerge w:val="restart"/>
                  <w:tcBorders>
                    <w:tl2br w:val="nil"/>
                    <w:tr2bl w:val="nil"/>
                  </w:tcBorders>
                  <w:noWrap w:val="0"/>
                  <w:vAlign w:val="center"/>
                </w:tcPr>
                <w:p w14:paraId="271F5A5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主体工程</w:t>
                  </w:r>
                </w:p>
              </w:tc>
              <w:tc>
                <w:tcPr>
                  <w:tcW w:w="907" w:type="pct"/>
                  <w:gridSpan w:val="3"/>
                  <w:tcBorders>
                    <w:tl2br w:val="nil"/>
                    <w:tr2bl w:val="nil"/>
                  </w:tcBorders>
                  <w:noWrap w:val="0"/>
                  <w:vAlign w:val="center"/>
                </w:tcPr>
                <w:p w14:paraId="56CADB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热风炉</w:t>
                  </w:r>
                </w:p>
              </w:tc>
              <w:tc>
                <w:tcPr>
                  <w:tcW w:w="3232" w:type="pct"/>
                  <w:tcBorders>
                    <w:tl2br w:val="nil"/>
                    <w:tr2bl w:val="nil"/>
                  </w:tcBorders>
                  <w:noWrap w:val="0"/>
                  <w:vAlign w:val="center"/>
                </w:tcPr>
                <w:p w14:paraId="0E62DEAC">
                  <w:pPr>
                    <w:pStyle w:val="31"/>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kern w:val="2"/>
                      <w:sz w:val="21"/>
                      <w:szCs w:val="21"/>
                      <w:highlight w:val="none"/>
                      <w:lang w:val="en-US" w:eastAsia="zh-CN" w:bidi="ar-SA"/>
                    </w:rPr>
                  </w:pPr>
                  <w:r>
                    <w:rPr>
                      <w:rFonts w:hint="default" w:ascii="Times New Roman" w:hAnsi="Times New Roman" w:cs="Times New Roman"/>
                      <w:b w:val="0"/>
                      <w:bCs w:val="0"/>
                      <w:color w:val="auto"/>
                      <w:spacing w:val="12"/>
                      <w:kern w:val="2"/>
                      <w:sz w:val="21"/>
                      <w:szCs w:val="21"/>
                      <w:highlight w:val="none"/>
                      <w:lang w:val="en-US" w:eastAsia="zh-CN" w:bidi="ar-SA"/>
                    </w:rPr>
                    <w:t>设置两</w:t>
                  </w:r>
                  <w:r>
                    <w:rPr>
                      <w:rFonts w:hint="default" w:ascii="Times New Roman" w:hAnsi="Times New Roman" w:eastAsia="宋体" w:cs="Times New Roman"/>
                      <w:b w:val="0"/>
                      <w:bCs w:val="0"/>
                      <w:color w:val="auto"/>
                      <w:spacing w:val="12"/>
                      <w:kern w:val="2"/>
                      <w:sz w:val="21"/>
                      <w:szCs w:val="21"/>
                      <w:highlight w:val="none"/>
                      <w:lang w:val="en-US" w:eastAsia="zh-CN" w:bidi="ar-SA"/>
                    </w:rPr>
                    <w:t>台</w:t>
                  </w:r>
                  <w:r>
                    <w:rPr>
                      <w:rFonts w:hint="default" w:ascii="Times New Roman" w:hAnsi="Times New Roman" w:cs="Times New Roman"/>
                      <w:b w:val="0"/>
                      <w:bCs w:val="0"/>
                      <w:color w:val="auto"/>
                      <w:kern w:val="2"/>
                      <w:sz w:val="21"/>
                      <w:szCs w:val="21"/>
                      <w:highlight w:val="none"/>
                      <w:lang w:val="en-US" w:eastAsia="zh-CN" w:bidi="ar-SA"/>
                    </w:rPr>
                    <w:t>18</w:t>
                  </w:r>
                  <w:r>
                    <w:rPr>
                      <w:rFonts w:hint="default" w:ascii="Times New Roman" w:hAnsi="Times New Roman" w:eastAsia="宋体" w:cs="Times New Roman"/>
                      <w:b w:val="0"/>
                      <w:bCs w:val="0"/>
                      <w:color w:val="auto"/>
                      <w:kern w:val="2"/>
                      <w:sz w:val="21"/>
                      <w:szCs w:val="21"/>
                      <w:highlight w:val="none"/>
                      <w:lang w:val="en-US" w:eastAsia="zh-CN" w:bidi="ar-SA"/>
                    </w:rPr>
                    <w:t>t/h</w:t>
                  </w:r>
                  <w:r>
                    <w:rPr>
                      <w:rFonts w:hint="default" w:ascii="Times New Roman" w:hAnsi="Times New Roman" w:eastAsia="宋体" w:cs="Times New Roman"/>
                      <w:b w:val="0"/>
                      <w:bCs w:val="0"/>
                      <w:color w:val="auto"/>
                      <w:spacing w:val="12"/>
                      <w:kern w:val="2"/>
                      <w:sz w:val="21"/>
                      <w:szCs w:val="21"/>
                      <w:highlight w:val="none"/>
                      <w:lang w:val="en-US" w:eastAsia="zh-CN" w:bidi="ar-SA"/>
                    </w:rPr>
                    <w:t>生物质热风炉，主要用于玉米烘干</w:t>
                  </w:r>
                </w:p>
              </w:tc>
              <w:tc>
                <w:tcPr>
                  <w:tcW w:w="415" w:type="pct"/>
                  <w:tcBorders>
                    <w:tl2br w:val="nil"/>
                    <w:tr2bl w:val="nil"/>
                  </w:tcBorders>
                  <w:noWrap w:val="0"/>
                  <w:vAlign w:val="center"/>
                </w:tcPr>
                <w:p w14:paraId="7BD4899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砖混结构</w:t>
                  </w:r>
                </w:p>
              </w:tc>
            </w:tr>
            <w:tr w14:paraId="2EBEF8D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D12978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noWrap w:val="0"/>
                  <w:vAlign w:val="center"/>
                </w:tcPr>
                <w:p w14:paraId="61123D0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烘干塔</w:t>
                  </w:r>
                </w:p>
              </w:tc>
              <w:tc>
                <w:tcPr>
                  <w:tcW w:w="3232" w:type="pct"/>
                  <w:tcBorders>
                    <w:tl2br w:val="nil"/>
                    <w:tr2bl w:val="nil"/>
                  </w:tcBorders>
                  <w:noWrap w:val="0"/>
                  <w:vAlign w:val="center"/>
                </w:tcPr>
                <w:p w14:paraId="2B86A8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2座粮食烘干塔，每座处理能力1200t/d，钢混框架结构，全封闭设计</w:t>
                  </w:r>
                </w:p>
              </w:tc>
              <w:tc>
                <w:tcPr>
                  <w:tcW w:w="415" w:type="pct"/>
                  <w:tcBorders>
                    <w:tl2br w:val="nil"/>
                    <w:tr2bl w:val="nil"/>
                  </w:tcBorders>
                  <w:noWrap w:val="0"/>
                  <w:vAlign w:val="center"/>
                </w:tcPr>
                <w:p w14:paraId="6CD06A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p>
              </w:tc>
            </w:tr>
            <w:tr w14:paraId="078F1B4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79D2D8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储运工程</w:t>
                  </w:r>
                </w:p>
              </w:tc>
              <w:tc>
                <w:tcPr>
                  <w:tcW w:w="907" w:type="pct"/>
                  <w:gridSpan w:val="3"/>
                  <w:tcBorders>
                    <w:tl2br w:val="nil"/>
                    <w:tr2bl w:val="nil"/>
                  </w:tcBorders>
                  <w:noWrap w:val="0"/>
                  <w:vAlign w:val="center"/>
                </w:tcPr>
                <w:p w14:paraId="17FA2B6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湿粮仓</w:t>
                  </w:r>
                </w:p>
              </w:tc>
              <w:tc>
                <w:tcPr>
                  <w:tcW w:w="3232" w:type="pct"/>
                  <w:tcBorders>
                    <w:tl2br w:val="nil"/>
                    <w:tr2bl w:val="nil"/>
                  </w:tcBorders>
                  <w:noWrap w:val="0"/>
                  <w:vAlign w:val="center"/>
                </w:tcPr>
                <w:p w14:paraId="480770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lang w:val="en-US" w:eastAsia="zh-CN"/>
                    </w:rPr>
                  </w:pPr>
                  <w:r>
                    <w:rPr>
                      <w:rFonts w:hint="default" w:ascii="Times New Roman" w:hAnsi="Times New Roman" w:cs="Times New Roman"/>
                      <w:b w:val="0"/>
                      <w:bCs w:val="0"/>
                      <w:color w:val="auto"/>
                      <w:spacing w:val="12"/>
                      <w:sz w:val="21"/>
                      <w:szCs w:val="21"/>
                      <w:highlight w:val="none"/>
                      <w:lang w:val="en-US" w:eastAsia="zh-CN"/>
                    </w:rPr>
                    <w:t>4座，装配式镀锌钢板仓</w:t>
                  </w:r>
                  <w:r>
                    <w:rPr>
                      <w:rFonts w:hint="default" w:ascii="Times New Roman" w:hAnsi="Times New Roman" w:eastAsia="宋体" w:cs="Times New Roman"/>
                      <w:b w:val="0"/>
                      <w:bCs w:val="0"/>
                      <w:color w:val="auto"/>
                      <w:spacing w:val="12"/>
                      <w:sz w:val="21"/>
                      <w:szCs w:val="21"/>
                      <w:highlight w:val="none"/>
                    </w:rPr>
                    <w:t>，</w:t>
                  </w:r>
                  <w:r>
                    <w:rPr>
                      <w:rFonts w:hint="default" w:ascii="Times New Roman" w:hAnsi="Times New Roman" w:cs="Times New Roman"/>
                      <w:b w:val="0"/>
                      <w:bCs w:val="0"/>
                      <w:color w:val="auto"/>
                      <w:spacing w:val="12"/>
                      <w:sz w:val="21"/>
                      <w:szCs w:val="21"/>
                      <w:highlight w:val="none"/>
                      <w:lang w:val="en-US" w:eastAsia="zh-CN"/>
                    </w:rPr>
                    <w:t>每座储存量</w:t>
                  </w:r>
                  <w:r>
                    <w:rPr>
                      <w:rFonts w:hint="default" w:ascii="Times New Roman" w:hAnsi="Times New Roman" w:eastAsia="宋体" w:cs="Times New Roman"/>
                      <w:b w:val="0"/>
                      <w:bCs w:val="0"/>
                      <w:color w:val="auto"/>
                      <w:kern w:val="2"/>
                      <w:sz w:val="21"/>
                      <w:szCs w:val="21"/>
                      <w:highlight w:val="none"/>
                      <w:lang w:val="en-US" w:eastAsia="zh-CN" w:bidi="ar-SA"/>
                    </w:rPr>
                    <w:t>1</w:t>
                  </w:r>
                  <w:r>
                    <w:rPr>
                      <w:rFonts w:hint="default" w:ascii="Times New Roman" w:hAnsi="Times New Roman" w:cs="Times New Roman"/>
                      <w:b w:val="0"/>
                      <w:bCs w:val="0"/>
                      <w:color w:val="auto"/>
                      <w:kern w:val="2"/>
                      <w:sz w:val="21"/>
                      <w:szCs w:val="21"/>
                      <w:highlight w:val="none"/>
                      <w:lang w:val="en-US" w:eastAsia="zh-CN" w:bidi="ar-SA"/>
                    </w:rPr>
                    <w:t>0</w:t>
                  </w:r>
                  <w:r>
                    <w:rPr>
                      <w:rFonts w:hint="default" w:ascii="Times New Roman" w:hAnsi="Times New Roman" w:eastAsia="宋体" w:cs="Times New Roman"/>
                      <w:b w:val="0"/>
                      <w:bCs w:val="0"/>
                      <w:color w:val="auto"/>
                      <w:kern w:val="2"/>
                      <w:sz w:val="21"/>
                      <w:szCs w:val="21"/>
                      <w:highlight w:val="none"/>
                      <w:lang w:val="en-US" w:eastAsia="zh-CN" w:bidi="ar-SA"/>
                    </w:rPr>
                    <w:t>00t</w:t>
                  </w:r>
                </w:p>
              </w:tc>
              <w:tc>
                <w:tcPr>
                  <w:tcW w:w="415" w:type="pct"/>
                  <w:tcBorders>
                    <w:tl2br w:val="nil"/>
                    <w:tr2bl w:val="nil"/>
                  </w:tcBorders>
                  <w:noWrap w:val="0"/>
                  <w:vAlign w:val="center"/>
                </w:tcPr>
                <w:p w14:paraId="19632C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r>
            <w:tr w14:paraId="4C3BEB0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F8891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c>
                <w:tcPr>
                  <w:tcW w:w="907" w:type="pct"/>
                  <w:gridSpan w:val="3"/>
                  <w:tcBorders>
                    <w:tl2br w:val="nil"/>
                    <w:tr2bl w:val="nil"/>
                  </w:tcBorders>
                  <w:shd w:val="clear" w:color="auto" w:fill="auto"/>
                  <w:noWrap w:val="0"/>
                  <w:vAlign w:val="center"/>
                </w:tcPr>
                <w:p w14:paraId="7B16619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成品仓库</w:t>
                  </w:r>
                </w:p>
              </w:tc>
              <w:tc>
                <w:tcPr>
                  <w:tcW w:w="3232" w:type="pct"/>
                  <w:tcBorders>
                    <w:tl2br w:val="nil"/>
                    <w:tr2bl w:val="nil"/>
                  </w:tcBorders>
                  <w:shd w:val="clear" w:color="auto" w:fill="auto"/>
                  <w:noWrap w:val="0"/>
                  <w:vAlign w:val="center"/>
                </w:tcPr>
                <w:p w14:paraId="08887C7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1座，面积6422.72</w:t>
                  </w:r>
                  <w:r>
                    <w:rPr>
                      <w:rFonts w:hint="default" w:ascii="Times New Roman" w:hAnsi="Times New Roman" w:eastAsia="宋体" w:cs="Times New Roman"/>
                      <w:b w:val="0"/>
                      <w:bCs w:val="0"/>
                      <w:color w:val="auto"/>
                      <w:kern w:val="2"/>
                      <w:sz w:val="21"/>
                      <w:szCs w:val="21"/>
                      <w:highlight w:val="none"/>
                      <w:lang w:val="en-US" w:eastAsia="zh-CN" w:bidi="ar-SA"/>
                    </w:rPr>
                    <w:t>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2</w:t>
                  </w:r>
                  <w:r>
                    <w:rPr>
                      <w:rFonts w:hint="default" w:ascii="Times New Roman" w:hAnsi="Times New Roman" w:cs="Times New Roman"/>
                      <w:b w:val="0"/>
                      <w:bCs w:val="0"/>
                      <w:color w:val="auto"/>
                      <w:sz w:val="21"/>
                      <w:szCs w:val="21"/>
                      <w:highlight w:val="none"/>
                      <w:lang w:val="en-US" w:eastAsia="zh-CN"/>
                    </w:rPr>
                    <w:t>，储存量10000t</w:t>
                  </w:r>
                </w:p>
              </w:tc>
              <w:tc>
                <w:tcPr>
                  <w:tcW w:w="415" w:type="pct"/>
                  <w:tcBorders>
                    <w:tl2br w:val="nil"/>
                    <w:tr2bl w:val="nil"/>
                  </w:tcBorders>
                  <w:noWrap w:val="0"/>
                  <w:vAlign w:val="center"/>
                </w:tcPr>
                <w:p w14:paraId="788F543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r>
            <w:tr w14:paraId="14D9428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DC3FE4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c>
                <w:tcPr>
                  <w:tcW w:w="907" w:type="pct"/>
                  <w:gridSpan w:val="3"/>
                  <w:tcBorders>
                    <w:tl2br w:val="nil"/>
                    <w:tr2bl w:val="nil"/>
                  </w:tcBorders>
                  <w:noWrap w:val="0"/>
                  <w:vAlign w:val="center"/>
                </w:tcPr>
                <w:p w14:paraId="6743192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b w:val="0"/>
                      <w:bCs w:val="0"/>
                      <w:color w:val="auto"/>
                      <w:highlight w:val="none"/>
                      <w:lang w:val="en-US" w:eastAsia="zh-CN"/>
                    </w:rPr>
                    <w:t>燃料仓库</w:t>
                  </w:r>
                </w:p>
              </w:tc>
              <w:tc>
                <w:tcPr>
                  <w:tcW w:w="3232" w:type="pct"/>
                  <w:tcBorders>
                    <w:tl2br w:val="nil"/>
                    <w:tr2bl w:val="nil"/>
                  </w:tcBorders>
                  <w:noWrap w:val="0"/>
                  <w:vAlign w:val="center"/>
                </w:tcPr>
                <w:p w14:paraId="19DF00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pacing w:val="12"/>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1座，面积</w:t>
                  </w:r>
                  <w:r>
                    <w:rPr>
                      <w:rFonts w:hint="eastAsia" w:ascii="Times New Roman" w:hAnsi="Times New Roman" w:cs="Times New Roman"/>
                      <w:b w:val="0"/>
                      <w:bCs w:val="0"/>
                      <w:color w:val="auto"/>
                      <w:sz w:val="21"/>
                      <w:szCs w:val="21"/>
                      <w:highlight w:val="none"/>
                      <w:lang w:val="en-US" w:eastAsia="zh-CN"/>
                    </w:rPr>
                    <w:t>500</w:t>
                  </w:r>
                  <w:r>
                    <w:rPr>
                      <w:rFonts w:hint="default" w:ascii="Times New Roman" w:hAnsi="Times New Roman" w:eastAsia="宋体" w:cs="Times New Roman"/>
                      <w:b w:val="0"/>
                      <w:bCs w:val="0"/>
                      <w:color w:val="auto"/>
                      <w:kern w:val="2"/>
                      <w:sz w:val="21"/>
                      <w:szCs w:val="21"/>
                      <w:highlight w:val="none"/>
                      <w:lang w:val="en-US" w:eastAsia="zh-CN" w:bidi="ar-SA"/>
                    </w:rPr>
                    <w:t>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2</w:t>
                  </w:r>
                </w:p>
              </w:tc>
              <w:tc>
                <w:tcPr>
                  <w:tcW w:w="415" w:type="pct"/>
                  <w:tcBorders>
                    <w:tl2br w:val="nil"/>
                    <w:tr2bl w:val="nil"/>
                  </w:tcBorders>
                  <w:noWrap w:val="0"/>
                  <w:vAlign w:val="center"/>
                </w:tcPr>
                <w:p w14:paraId="7B8AF27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r>
            <w:tr w14:paraId="383442A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411F1E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noWrap w:val="0"/>
                  <w:vAlign w:val="center"/>
                </w:tcPr>
                <w:p w14:paraId="4AD7DE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b w:val="0"/>
                      <w:bCs w:val="0"/>
                      <w:color w:val="auto"/>
                      <w:highlight w:val="none"/>
                      <w:lang w:val="en-US" w:eastAsia="zh-CN"/>
                    </w:rPr>
                    <w:t>灰渣仓库</w:t>
                  </w:r>
                </w:p>
              </w:tc>
              <w:tc>
                <w:tcPr>
                  <w:tcW w:w="3232" w:type="pct"/>
                  <w:tcBorders>
                    <w:tl2br w:val="nil"/>
                    <w:tr2bl w:val="nil"/>
                  </w:tcBorders>
                  <w:noWrap w:val="0"/>
                  <w:vAlign w:val="center"/>
                </w:tcPr>
                <w:p w14:paraId="2FDA33D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1座，面积</w:t>
                  </w:r>
                  <w:r>
                    <w:rPr>
                      <w:rFonts w:hint="eastAsia" w:ascii="Times New Roman" w:hAnsi="Times New Roman" w:cs="Times New Roman"/>
                      <w:b w:val="0"/>
                      <w:bCs w:val="0"/>
                      <w:color w:val="auto"/>
                      <w:sz w:val="21"/>
                      <w:szCs w:val="21"/>
                      <w:highlight w:val="none"/>
                      <w:lang w:val="en-US" w:eastAsia="zh-CN"/>
                    </w:rPr>
                    <w:t>500</w:t>
                  </w:r>
                  <w:r>
                    <w:rPr>
                      <w:rFonts w:hint="default" w:ascii="Times New Roman" w:hAnsi="Times New Roman" w:eastAsia="宋体" w:cs="Times New Roman"/>
                      <w:b w:val="0"/>
                      <w:bCs w:val="0"/>
                      <w:color w:val="auto"/>
                      <w:kern w:val="2"/>
                      <w:sz w:val="21"/>
                      <w:szCs w:val="21"/>
                      <w:highlight w:val="none"/>
                      <w:lang w:val="en-US" w:eastAsia="zh-CN" w:bidi="ar-SA"/>
                    </w:rPr>
                    <w:t>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2</w:t>
                  </w:r>
                </w:p>
              </w:tc>
              <w:tc>
                <w:tcPr>
                  <w:tcW w:w="415" w:type="pct"/>
                  <w:tcBorders>
                    <w:tl2br w:val="nil"/>
                    <w:tr2bl w:val="nil"/>
                  </w:tcBorders>
                  <w:noWrap w:val="0"/>
                  <w:vAlign w:val="center"/>
                </w:tcPr>
                <w:p w14:paraId="02FB7C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r>
            <w:tr w14:paraId="0602A73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1" w:hRule="atLeast"/>
                <w:jc w:val="center"/>
              </w:trPr>
              <w:tc>
                <w:tcPr>
                  <w:tcW w:w="445" w:type="pct"/>
                  <w:vMerge w:val="restart"/>
                  <w:tcBorders>
                    <w:tl2br w:val="nil"/>
                    <w:tr2bl w:val="nil"/>
                  </w:tcBorders>
                  <w:noWrap w:val="0"/>
                  <w:vAlign w:val="center"/>
                </w:tcPr>
                <w:p w14:paraId="3B2F4AC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辅助工程</w:t>
                  </w:r>
                </w:p>
              </w:tc>
              <w:tc>
                <w:tcPr>
                  <w:tcW w:w="907" w:type="pct"/>
                  <w:gridSpan w:val="3"/>
                  <w:tcBorders>
                    <w:bottom w:val="single" w:color="auto" w:sz="4" w:space="0"/>
                    <w:tl2br w:val="nil"/>
                    <w:tr2bl w:val="nil"/>
                  </w:tcBorders>
                  <w:noWrap w:val="0"/>
                  <w:vAlign w:val="center"/>
                </w:tcPr>
                <w:p w14:paraId="52C5447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门卫、地磅房</w:t>
                  </w:r>
                </w:p>
              </w:tc>
              <w:tc>
                <w:tcPr>
                  <w:tcW w:w="3232" w:type="pct"/>
                  <w:tcBorders>
                    <w:bottom w:val="single" w:color="auto" w:sz="4" w:space="0"/>
                    <w:tl2br w:val="nil"/>
                    <w:tr2bl w:val="nil"/>
                  </w:tcBorders>
                  <w:noWrap w:val="0"/>
                  <w:vAlign w:val="center"/>
                </w:tcPr>
                <w:p w14:paraId="22B6182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lang w:val="en-US" w:eastAsia="zh-CN"/>
                    </w:rPr>
                  </w:pPr>
                  <w:r>
                    <w:rPr>
                      <w:rFonts w:hint="default" w:ascii="Times New Roman" w:hAnsi="Times New Roman" w:eastAsia="宋体" w:cs="Times New Roman"/>
                      <w:b w:val="0"/>
                      <w:bCs w:val="0"/>
                      <w:color w:val="auto"/>
                      <w:spacing w:val="12"/>
                      <w:sz w:val="21"/>
                      <w:szCs w:val="21"/>
                      <w:highlight w:val="none"/>
                    </w:rPr>
                    <w:t>建筑面积</w:t>
                  </w:r>
                  <w:r>
                    <w:rPr>
                      <w:rFonts w:hint="default" w:ascii="Times New Roman" w:hAnsi="Times New Roman" w:cs="Times New Roman"/>
                      <w:b w:val="0"/>
                      <w:bCs w:val="0"/>
                      <w:color w:val="auto"/>
                      <w:szCs w:val="21"/>
                      <w:highlight w:val="none"/>
                      <w:lang w:val="en-US" w:eastAsia="zh-CN"/>
                    </w:rPr>
                    <w:t>66</w:t>
                  </w:r>
                  <w:r>
                    <w:rPr>
                      <w:rFonts w:hint="default" w:ascii="Times New Roman" w:hAnsi="Times New Roman" w:eastAsia="宋体" w:cs="Times New Roman"/>
                      <w:b w:val="0"/>
                      <w:bCs w:val="0"/>
                      <w:color w:val="auto"/>
                      <w:szCs w:val="21"/>
                      <w:highlight w:val="none"/>
                      <w:lang w:val="en-US" w:eastAsia="zh-CN"/>
                    </w:rPr>
                    <w:t>m²</w:t>
                  </w:r>
                </w:p>
              </w:tc>
              <w:tc>
                <w:tcPr>
                  <w:tcW w:w="415" w:type="pct"/>
                  <w:tcBorders>
                    <w:bottom w:val="single" w:color="auto" w:sz="4" w:space="0"/>
                    <w:tl2br w:val="nil"/>
                    <w:tr2bl w:val="nil"/>
                  </w:tcBorders>
                  <w:noWrap w:val="0"/>
                  <w:vAlign w:val="center"/>
                </w:tcPr>
                <w:p w14:paraId="2B050E9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p>
              </w:tc>
            </w:tr>
            <w:tr w14:paraId="7250DCA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445" w:type="pct"/>
                  <w:vMerge w:val="continue"/>
                  <w:tcBorders>
                    <w:tl2br w:val="nil"/>
                    <w:tr2bl w:val="nil"/>
                  </w:tcBorders>
                  <w:noWrap w:val="0"/>
                  <w:vAlign w:val="center"/>
                </w:tcPr>
                <w:p w14:paraId="31BE5D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p>
              </w:tc>
              <w:tc>
                <w:tcPr>
                  <w:tcW w:w="907" w:type="pct"/>
                  <w:gridSpan w:val="3"/>
                  <w:tcBorders>
                    <w:top w:val="single" w:color="auto" w:sz="4" w:space="0"/>
                    <w:tl2br w:val="nil"/>
                    <w:tr2bl w:val="nil"/>
                  </w:tcBorders>
                  <w:shd w:val="clear" w:color="auto" w:fill="auto"/>
                  <w:noWrap w:val="0"/>
                  <w:vAlign w:val="center"/>
                </w:tcPr>
                <w:p w14:paraId="1D1F8C9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消防水池</w:t>
                  </w:r>
                </w:p>
              </w:tc>
              <w:tc>
                <w:tcPr>
                  <w:tcW w:w="3232" w:type="pct"/>
                  <w:tcBorders>
                    <w:top w:val="single" w:color="auto" w:sz="4" w:space="0"/>
                    <w:tl2br w:val="nil"/>
                    <w:tr2bl w:val="nil"/>
                  </w:tcBorders>
                  <w:shd w:val="clear" w:color="auto" w:fill="auto"/>
                  <w:noWrap w:val="0"/>
                  <w:vAlign w:val="center"/>
                </w:tcPr>
                <w:p w14:paraId="06FB62C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一层砖混结构，建筑面积490m</w:t>
                  </w:r>
                  <w:r>
                    <w:rPr>
                      <w:rFonts w:hint="default" w:ascii="Times New Roman" w:hAnsi="Times New Roman" w:cs="Times New Roman"/>
                      <w:b w:val="0"/>
                      <w:bCs w:val="0"/>
                      <w:color w:val="auto"/>
                      <w:sz w:val="21"/>
                      <w:szCs w:val="21"/>
                      <w:highlight w:val="none"/>
                      <w:vertAlign w:val="superscript"/>
                      <w:lang w:val="en-US" w:eastAsia="zh-CN"/>
                    </w:rPr>
                    <w:t>3</w:t>
                  </w:r>
                </w:p>
              </w:tc>
              <w:tc>
                <w:tcPr>
                  <w:tcW w:w="415" w:type="pct"/>
                  <w:tcBorders>
                    <w:top w:val="single" w:color="auto" w:sz="4" w:space="0"/>
                    <w:tl2br w:val="nil"/>
                    <w:tr2bl w:val="nil"/>
                  </w:tcBorders>
                  <w:shd w:val="clear" w:color="auto" w:fill="auto"/>
                  <w:noWrap w:val="0"/>
                  <w:vAlign w:val="center"/>
                </w:tcPr>
                <w:p w14:paraId="2044CFB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r>
            <w:tr w14:paraId="335095D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6FD0D8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公用工程</w:t>
                  </w:r>
                </w:p>
              </w:tc>
              <w:tc>
                <w:tcPr>
                  <w:tcW w:w="907" w:type="pct"/>
                  <w:gridSpan w:val="3"/>
                  <w:tcBorders>
                    <w:tl2br w:val="nil"/>
                    <w:tr2bl w:val="nil"/>
                  </w:tcBorders>
                  <w:noWrap w:val="0"/>
                  <w:vAlign w:val="center"/>
                </w:tcPr>
                <w:p w14:paraId="2B7B375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供电</w:t>
                  </w:r>
                </w:p>
              </w:tc>
              <w:tc>
                <w:tcPr>
                  <w:tcW w:w="3232" w:type="pct"/>
                  <w:tcBorders>
                    <w:tl2br w:val="nil"/>
                    <w:tr2bl w:val="nil"/>
                  </w:tcBorders>
                  <w:noWrap w:val="0"/>
                  <w:vAlign w:val="center"/>
                </w:tcPr>
                <w:p w14:paraId="6EF3004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由国家电网统一供电</w:t>
                  </w:r>
                </w:p>
              </w:tc>
              <w:tc>
                <w:tcPr>
                  <w:tcW w:w="415" w:type="pct"/>
                  <w:tcBorders>
                    <w:tl2br w:val="nil"/>
                    <w:tr2bl w:val="nil"/>
                  </w:tcBorders>
                  <w:noWrap w:val="0"/>
                  <w:vAlign w:val="center"/>
                </w:tcPr>
                <w:p w14:paraId="64396F1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p>
              </w:tc>
            </w:tr>
            <w:tr w14:paraId="4579082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2AFC1D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noWrap w:val="0"/>
                  <w:vAlign w:val="center"/>
                </w:tcPr>
                <w:p w14:paraId="5B8D33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供水</w:t>
                  </w:r>
                </w:p>
              </w:tc>
              <w:tc>
                <w:tcPr>
                  <w:tcW w:w="3232" w:type="pct"/>
                  <w:tcBorders>
                    <w:tl2br w:val="nil"/>
                    <w:tr2bl w:val="nil"/>
                  </w:tcBorders>
                  <w:noWrap w:val="0"/>
                  <w:vAlign w:val="center"/>
                </w:tcPr>
                <w:p w14:paraId="66B2E5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项目区未接通供水管网，由129团拉运</w:t>
                  </w:r>
                </w:p>
              </w:tc>
              <w:tc>
                <w:tcPr>
                  <w:tcW w:w="415" w:type="pct"/>
                  <w:tcBorders>
                    <w:tl2br w:val="nil"/>
                    <w:tr2bl w:val="nil"/>
                  </w:tcBorders>
                  <w:noWrap w:val="0"/>
                  <w:vAlign w:val="center"/>
                </w:tcPr>
                <w:p w14:paraId="5A10168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r>
            <w:tr w14:paraId="0BE2F51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F3D9C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noWrap w:val="0"/>
                  <w:vAlign w:val="center"/>
                </w:tcPr>
                <w:p w14:paraId="6D0A19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排水</w:t>
                  </w:r>
                </w:p>
              </w:tc>
              <w:tc>
                <w:tcPr>
                  <w:tcW w:w="3232" w:type="pct"/>
                  <w:tcBorders>
                    <w:tl2br w:val="nil"/>
                    <w:tr2bl w:val="nil"/>
                  </w:tcBorders>
                  <w:noWrap w:val="0"/>
                  <w:vAlign w:val="center"/>
                </w:tcPr>
                <w:p w14:paraId="40B4B8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rPr>
                  </w:pPr>
                  <w:r>
                    <w:rPr>
                      <w:rFonts w:hint="default" w:ascii="Times New Roman" w:hAnsi="Times New Roman" w:cs="Times New Roman"/>
                      <w:b w:val="0"/>
                      <w:bCs w:val="0"/>
                      <w:color w:val="auto"/>
                      <w:spacing w:val="12"/>
                      <w:sz w:val="21"/>
                      <w:szCs w:val="21"/>
                      <w:highlight w:val="none"/>
                      <w:lang w:val="en-US" w:eastAsia="zh-CN"/>
                    </w:rPr>
                    <w:t>无生产废水产生，生活污水暂存于厂区防渗化粪池，委托当地吸污车定期拉运处理</w:t>
                  </w:r>
                </w:p>
              </w:tc>
              <w:tc>
                <w:tcPr>
                  <w:tcW w:w="415" w:type="pct"/>
                  <w:tcBorders>
                    <w:tl2br w:val="nil"/>
                    <w:tr2bl w:val="nil"/>
                  </w:tcBorders>
                  <w:noWrap w:val="0"/>
                  <w:vAlign w:val="center"/>
                </w:tcPr>
                <w:p w14:paraId="6E262E5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pacing w:val="12"/>
                      <w:sz w:val="21"/>
                      <w:szCs w:val="21"/>
                      <w:highlight w:val="none"/>
                      <w:lang w:val="en-US" w:eastAsia="zh-CN"/>
                    </w:rPr>
                  </w:pPr>
                </w:p>
              </w:tc>
            </w:tr>
            <w:tr w14:paraId="14B2383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445" w:type="pct"/>
                  <w:vMerge w:val="restart"/>
                  <w:tcBorders>
                    <w:tl2br w:val="nil"/>
                    <w:tr2bl w:val="nil"/>
                  </w:tcBorders>
                  <w:noWrap w:val="0"/>
                  <w:vAlign w:val="center"/>
                </w:tcPr>
                <w:p w14:paraId="3CAE93C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环保工程</w:t>
                  </w:r>
                </w:p>
              </w:tc>
              <w:tc>
                <w:tcPr>
                  <w:tcW w:w="316" w:type="pct"/>
                  <w:vMerge w:val="restart"/>
                  <w:tcBorders>
                    <w:right w:val="single" w:color="auto" w:sz="4" w:space="0"/>
                    <w:tl2br w:val="nil"/>
                    <w:tr2bl w:val="nil"/>
                  </w:tcBorders>
                  <w:noWrap w:val="0"/>
                  <w:vAlign w:val="center"/>
                </w:tcPr>
                <w:p w14:paraId="4D54AE1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废气</w:t>
                  </w:r>
                </w:p>
              </w:tc>
              <w:tc>
                <w:tcPr>
                  <w:tcW w:w="591" w:type="pct"/>
                  <w:gridSpan w:val="2"/>
                  <w:tcBorders>
                    <w:left w:val="single" w:color="auto" w:sz="4" w:space="0"/>
                    <w:bottom w:val="single" w:color="auto" w:sz="4" w:space="0"/>
                    <w:tl2br w:val="nil"/>
                    <w:tr2bl w:val="nil"/>
                  </w:tcBorders>
                  <w:noWrap w:val="0"/>
                  <w:vAlign w:val="center"/>
                </w:tcPr>
                <w:p w14:paraId="4A7EC3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有组织</w:t>
                  </w:r>
                </w:p>
              </w:tc>
              <w:tc>
                <w:tcPr>
                  <w:tcW w:w="3232" w:type="pct"/>
                  <w:tcBorders>
                    <w:bottom w:val="single" w:color="auto" w:sz="4" w:space="0"/>
                    <w:tl2br w:val="nil"/>
                    <w:tr2bl w:val="nil"/>
                  </w:tcBorders>
                  <w:noWrap w:val="0"/>
                  <w:vAlign w:val="center"/>
                </w:tcPr>
                <w:p w14:paraId="7695AB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pacing w:val="12"/>
                      <w:sz w:val="21"/>
                      <w:szCs w:val="21"/>
                      <w:highlight w:val="none"/>
                      <w:lang w:val="en-US" w:eastAsia="zh-CN"/>
                    </w:rPr>
                    <w:t>2台</w:t>
                  </w:r>
                  <w:r>
                    <w:rPr>
                      <w:rFonts w:hint="default" w:ascii="Times New Roman" w:hAnsi="Times New Roman" w:eastAsia="宋体" w:cs="Times New Roman"/>
                      <w:b w:val="0"/>
                      <w:bCs w:val="0"/>
                      <w:color w:val="auto"/>
                      <w:spacing w:val="12"/>
                      <w:sz w:val="21"/>
                      <w:szCs w:val="21"/>
                      <w:highlight w:val="none"/>
                    </w:rPr>
                    <w:t>热风炉废气</w:t>
                  </w:r>
                  <w:r>
                    <w:rPr>
                      <w:rFonts w:hint="eastAsia" w:cs="Times New Roman"/>
                      <w:b w:val="0"/>
                      <w:bCs w:val="0"/>
                      <w:color w:val="auto"/>
                      <w:spacing w:val="12"/>
                      <w:sz w:val="21"/>
                      <w:szCs w:val="21"/>
                      <w:highlight w:val="none"/>
                      <w:lang w:val="en-US" w:eastAsia="zh-CN"/>
                    </w:rPr>
                    <w:t>分别</w:t>
                  </w:r>
                  <w:r>
                    <w:rPr>
                      <w:rFonts w:hint="default" w:ascii="Times New Roman" w:hAnsi="Times New Roman" w:eastAsia="宋体" w:cs="Times New Roman"/>
                      <w:b w:val="0"/>
                      <w:bCs w:val="0"/>
                      <w:color w:val="auto"/>
                      <w:spacing w:val="12"/>
                      <w:sz w:val="21"/>
                      <w:szCs w:val="21"/>
                      <w:highlight w:val="none"/>
                    </w:rPr>
                    <w:t>采用</w:t>
                  </w:r>
                  <w:r>
                    <w:rPr>
                      <w:rFonts w:hint="default" w:ascii="Times New Roman" w:hAnsi="Times New Roman" w:cs="Times New Roman"/>
                      <w:b w:val="0"/>
                      <w:bCs w:val="0"/>
                      <w:color w:val="auto"/>
                      <w:highlight w:val="none"/>
                      <w:lang w:val="en-US" w:eastAsia="zh-CN"/>
                    </w:rPr>
                    <w:t>“</w:t>
                  </w:r>
                  <w:r>
                    <w:rPr>
                      <w:rFonts w:hint="eastAsia" w:cs="Times New Roman"/>
                      <w:b w:val="0"/>
                      <w:bCs w:val="0"/>
                      <w:color w:val="auto"/>
                      <w:highlight w:val="none"/>
                      <w:lang w:val="en-US" w:eastAsia="zh-CN"/>
                    </w:rPr>
                    <w:t>低氮燃烧技术+陶瓷多管除尘+布袋除尘+双碱法脱硫</w:t>
                  </w:r>
                  <w:r>
                    <w:rPr>
                      <w:rFonts w:hint="default" w:ascii="Times New Roman" w:hAnsi="Times New Roman" w:cs="Times New Roman"/>
                      <w:b w:val="0"/>
                      <w:bCs w:val="0"/>
                      <w:color w:val="auto"/>
                      <w:highlight w:val="none"/>
                      <w:lang w:val="en-US" w:eastAsia="zh-CN"/>
                    </w:rPr>
                    <w:t>”</w:t>
                  </w:r>
                  <w:r>
                    <w:rPr>
                      <w:rFonts w:hint="default" w:ascii="Times New Roman" w:hAnsi="Times New Roman" w:eastAsia="宋体" w:cs="Times New Roman"/>
                      <w:b w:val="0"/>
                      <w:bCs w:val="0"/>
                      <w:color w:val="auto"/>
                      <w:spacing w:val="12"/>
                      <w:sz w:val="21"/>
                      <w:szCs w:val="21"/>
                      <w:highlight w:val="none"/>
                    </w:rPr>
                    <w:t>处理</w:t>
                  </w:r>
                  <w:r>
                    <w:rPr>
                      <w:rFonts w:hint="eastAsia"/>
                      <w:b w:val="0"/>
                      <w:bCs w:val="0"/>
                      <w:color w:val="auto"/>
                      <w:highlight w:val="none"/>
                      <w:lang w:val="en-US" w:eastAsia="zh-CN"/>
                    </w:rPr>
                    <w:t>后通过各自15米高排气筒排放</w:t>
                  </w:r>
                </w:p>
              </w:tc>
              <w:tc>
                <w:tcPr>
                  <w:tcW w:w="415" w:type="pct"/>
                  <w:tcBorders>
                    <w:bottom w:val="single" w:color="auto" w:sz="4" w:space="0"/>
                    <w:tl2br w:val="nil"/>
                    <w:tr2bl w:val="nil"/>
                  </w:tcBorders>
                  <w:noWrap w:val="0"/>
                  <w:vAlign w:val="center"/>
                </w:tcPr>
                <w:p w14:paraId="187440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rPr>
                  </w:pPr>
                </w:p>
              </w:tc>
            </w:tr>
            <w:tr w14:paraId="0C34EC4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5" w:type="pct"/>
                  <w:vMerge w:val="continue"/>
                  <w:tcBorders>
                    <w:tl2br w:val="nil"/>
                    <w:tr2bl w:val="nil"/>
                  </w:tcBorders>
                  <w:noWrap w:val="0"/>
                  <w:vAlign w:val="center"/>
                </w:tcPr>
                <w:p w14:paraId="075455A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316" w:type="pct"/>
                  <w:vMerge w:val="continue"/>
                  <w:tcBorders>
                    <w:right w:val="single" w:color="auto" w:sz="4" w:space="0"/>
                    <w:tl2br w:val="nil"/>
                    <w:tr2bl w:val="nil"/>
                  </w:tcBorders>
                  <w:noWrap w:val="0"/>
                  <w:vAlign w:val="center"/>
                </w:tcPr>
                <w:p w14:paraId="5475C9F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c>
                <w:tcPr>
                  <w:tcW w:w="591" w:type="pct"/>
                  <w:gridSpan w:val="2"/>
                  <w:tcBorders>
                    <w:top w:val="single" w:color="auto" w:sz="4" w:space="0"/>
                    <w:left w:val="single" w:color="auto" w:sz="4" w:space="0"/>
                    <w:tl2br w:val="nil"/>
                    <w:tr2bl w:val="nil"/>
                  </w:tcBorders>
                  <w:noWrap w:val="0"/>
                  <w:vAlign w:val="center"/>
                </w:tcPr>
                <w:p w14:paraId="29D871B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无组织</w:t>
                  </w:r>
                </w:p>
              </w:tc>
              <w:tc>
                <w:tcPr>
                  <w:tcW w:w="3232" w:type="pct"/>
                  <w:tcBorders>
                    <w:top w:val="single" w:color="auto" w:sz="4" w:space="0"/>
                    <w:tl2br w:val="nil"/>
                    <w:tr2bl w:val="nil"/>
                  </w:tcBorders>
                  <w:noWrap w:val="0"/>
                  <w:vAlign w:val="center"/>
                </w:tcPr>
                <w:p w14:paraId="60D2453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lang w:val="en-US"/>
                    </w:rPr>
                  </w:pPr>
                  <w:r>
                    <w:rPr>
                      <w:rFonts w:hint="eastAsia" w:cs="Times New Roman"/>
                      <w:b w:val="0"/>
                      <w:bCs w:val="0"/>
                      <w:color w:val="auto"/>
                      <w:sz w:val="21"/>
                      <w:szCs w:val="21"/>
                      <w:highlight w:val="none"/>
                      <w:lang w:val="en-US" w:eastAsia="zh-CN"/>
                    </w:rPr>
                    <w:t>卸粮口</w:t>
                  </w:r>
                  <w:r>
                    <w:rPr>
                      <w:rFonts w:hint="eastAsia"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进料口处设置密闭罩</w:t>
                  </w:r>
                  <w:r>
                    <w:rPr>
                      <w:rFonts w:hint="eastAsia"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输送环节设置</w:t>
                  </w:r>
                  <w:r>
                    <w:rPr>
                      <w:rFonts w:hint="default" w:ascii="Times New Roman" w:hAnsi="Times New Roman" w:cs="Times New Roman"/>
                      <w:b w:val="0"/>
                      <w:bCs w:val="0"/>
                      <w:color w:val="auto"/>
                      <w:sz w:val="21"/>
                      <w:szCs w:val="21"/>
                      <w:highlight w:val="none"/>
                    </w:rPr>
                    <w:t>密闭廊道</w:t>
                  </w:r>
                  <w:r>
                    <w:rPr>
                      <w:rFonts w:hint="eastAsia" w:ascii="Times New Roman" w:hAnsi="Times New Roman"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lang w:val="en-US" w:eastAsia="zh-CN"/>
                    </w:rPr>
                    <w:t>密闭筛分；</w:t>
                  </w:r>
                  <w:r>
                    <w:rPr>
                      <w:rFonts w:hint="default" w:ascii="Times New Roman" w:hAnsi="Times New Roman" w:eastAsia="宋体" w:cs="Times New Roman"/>
                      <w:b w:val="0"/>
                      <w:bCs w:val="0"/>
                      <w:color w:val="auto"/>
                      <w:spacing w:val="12"/>
                      <w:sz w:val="21"/>
                      <w:szCs w:val="21"/>
                      <w:highlight w:val="none"/>
                      <w:lang w:val="en-US" w:eastAsia="zh-CN"/>
                    </w:rPr>
                    <w:t>烘干车间封闭作业，车间内加强通风，定期洒水清扫</w:t>
                  </w:r>
                  <w:r>
                    <w:rPr>
                      <w:rFonts w:hint="eastAsia" w:cs="Times New Roman"/>
                      <w:b w:val="0"/>
                      <w:bCs w:val="0"/>
                      <w:color w:val="auto"/>
                      <w:spacing w:val="12"/>
                      <w:sz w:val="21"/>
                      <w:szCs w:val="21"/>
                      <w:highlight w:val="none"/>
                      <w:lang w:val="en-US" w:eastAsia="zh-CN"/>
                    </w:rPr>
                    <w:t>；设置封闭燃料库房和灰渣库房；</w:t>
                  </w:r>
                  <w:r>
                    <w:rPr>
                      <w:rFonts w:hint="default" w:ascii="Times New Roman" w:hAnsi="Times New Roman" w:eastAsia="宋体" w:cs="Times New Roman"/>
                      <w:b w:val="0"/>
                      <w:bCs w:val="0"/>
                      <w:color w:val="auto"/>
                      <w:spacing w:val="12"/>
                      <w:sz w:val="21"/>
                      <w:szCs w:val="21"/>
                      <w:highlight w:val="none"/>
                      <w:lang w:val="en-US" w:eastAsia="zh-CN"/>
                    </w:rPr>
                    <w:t>无组织粉尘自然沉降</w:t>
                  </w:r>
                  <w:r>
                    <w:rPr>
                      <w:rFonts w:hint="eastAsia" w:cs="Times New Roman"/>
                      <w:b w:val="0"/>
                      <w:bCs w:val="0"/>
                      <w:color w:val="auto"/>
                      <w:spacing w:val="12"/>
                      <w:sz w:val="21"/>
                      <w:szCs w:val="21"/>
                      <w:highlight w:val="none"/>
                      <w:lang w:val="en-US" w:eastAsia="zh-CN"/>
                    </w:rPr>
                    <w:t>等措施</w:t>
                  </w:r>
                </w:p>
              </w:tc>
              <w:tc>
                <w:tcPr>
                  <w:tcW w:w="415" w:type="pct"/>
                  <w:tcBorders>
                    <w:top w:val="single" w:color="auto" w:sz="4" w:space="0"/>
                    <w:tl2br w:val="nil"/>
                    <w:tr2bl w:val="nil"/>
                  </w:tcBorders>
                  <w:noWrap w:val="0"/>
                  <w:vAlign w:val="center"/>
                </w:tcPr>
                <w:p w14:paraId="2B9EC7D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lang w:val="en-US" w:eastAsia="zh-CN"/>
                    </w:rPr>
                  </w:pPr>
                </w:p>
              </w:tc>
            </w:tr>
            <w:tr w14:paraId="1D471D7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5" w:type="pct"/>
                  <w:vMerge w:val="continue"/>
                  <w:tcBorders>
                    <w:tl2br w:val="nil"/>
                    <w:tr2bl w:val="nil"/>
                  </w:tcBorders>
                  <w:noWrap w:val="0"/>
                  <w:vAlign w:val="center"/>
                </w:tcPr>
                <w:p w14:paraId="0BF26AB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shd w:val="clear" w:color="auto" w:fill="auto"/>
                  <w:noWrap w:val="0"/>
                  <w:vAlign w:val="center"/>
                </w:tcPr>
                <w:p w14:paraId="5A09EE1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废水</w:t>
                  </w:r>
                </w:p>
              </w:tc>
              <w:tc>
                <w:tcPr>
                  <w:tcW w:w="3232" w:type="pct"/>
                  <w:tcBorders>
                    <w:top w:val="single" w:color="auto" w:sz="4" w:space="0"/>
                    <w:tl2br w:val="nil"/>
                    <w:tr2bl w:val="nil"/>
                  </w:tcBorders>
                  <w:shd w:val="clear" w:color="auto" w:fill="auto"/>
                  <w:noWrap w:val="0"/>
                  <w:vAlign w:val="center"/>
                </w:tcPr>
                <w:p w14:paraId="09F3BCD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pacing w:val="12"/>
                      <w:sz w:val="21"/>
                      <w:szCs w:val="21"/>
                      <w:highlight w:val="none"/>
                      <w:lang w:val="en-US" w:eastAsia="zh-CN"/>
                    </w:rPr>
                    <w:t>本项目脱硫废水循环使用</w:t>
                  </w:r>
                  <w:r>
                    <w:rPr>
                      <w:rFonts w:hint="default" w:ascii="Times New Roman" w:hAnsi="Times New Roman" w:cs="Times New Roman"/>
                      <w:b w:val="0"/>
                      <w:bCs w:val="0"/>
                      <w:color w:val="auto"/>
                      <w:spacing w:val="12"/>
                      <w:sz w:val="21"/>
                      <w:szCs w:val="21"/>
                      <w:highlight w:val="none"/>
                      <w:lang w:val="en-US" w:eastAsia="zh-CN"/>
                    </w:rPr>
                    <w:t>，</w:t>
                  </w:r>
                  <w:r>
                    <w:rPr>
                      <w:rFonts w:hint="eastAsia" w:cs="Times New Roman"/>
                      <w:b w:val="0"/>
                      <w:bCs w:val="0"/>
                      <w:color w:val="auto"/>
                      <w:spacing w:val="12"/>
                      <w:sz w:val="21"/>
                      <w:szCs w:val="21"/>
                      <w:highlight w:val="none"/>
                      <w:lang w:val="en-US" w:eastAsia="zh-CN"/>
                    </w:rPr>
                    <w:t>不外排；</w:t>
                  </w:r>
                  <w:r>
                    <w:rPr>
                      <w:rFonts w:hint="default" w:ascii="Times New Roman" w:hAnsi="Times New Roman" w:cs="Times New Roman"/>
                      <w:b w:val="0"/>
                      <w:bCs w:val="0"/>
                      <w:color w:val="auto"/>
                      <w:spacing w:val="12"/>
                      <w:sz w:val="21"/>
                      <w:szCs w:val="21"/>
                      <w:highlight w:val="none"/>
                      <w:lang w:val="en-US" w:eastAsia="zh-CN"/>
                    </w:rPr>
                    <w:t>生活污水暂存于厂区防渗化粪池，委托当地吸污车定期拉运处理</w:t>
                  </w:r>
                </w:p>
              </w:tc>
              <w:tc>
                <w:tcPr>
                  <w:tcW w:w="415" w:type="pct"/>
                  <w:tcBorders>
                    <w:top w:val="single" w:color="auto" w:sz="4" w:space="0"/>
                    <w:tl2br w:val="nil"/>
                    <w:tr2bl w:val="nil"/>
                  </w:tcBorders>
                  <w:noWrap w:val="0"/>
                  <w:vAlign w:val="center"/>
                </w:tcPr>
                <w:p w14:paraId="7F7CF1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lang w:val="en-US" w:eastAsia="zh-CN"/>
                    </w:rPr>
                  </w:pPr>
                </w:p>
              </w:tc>
            </w:tr>
            <w:tr w14:paraId="1895CA4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93EE7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907" w:type="pct"/>
                  <w:gridSpan w:val="3"/>
                  <w:tcBorders>
                    <w:tl2br w:val="nil"/>
                    <w:tr2bl w:val="nil"/>
                  </w:tcBorders>
                  <w:noWrap w:val="0"/>
                  <w:vAlign w:val="center"/>
                </w:tcPr>
                <w:p w14:paraId="07D2781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噪声</w:t>
                  </w:r>
                </w:p>
              </w:tc>
              <w:tc>
                <w:tcPr>
                  <w:tcW w:w="3232" w:type="pct"/>
                  <w:tcBorders>
                    <w:tl2br w:val="nil"/>
                    <w:tr2bl w:val="nil"/>
                  </w:tcBorders>
                  <w:noWrap w:val="0"/>
                  <w:vAlign w:val="center"/>
                </w:tcPr>
                <w:p w14:paraId="337877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eastAsia="宋体" w:cs="Times New Roman"/>
                      <w:b w:val="0"/>
                      <w:bCs w:val="0"/>
                      <w:color w:val="auto"/>
                      <w:spacing w:val="12"/>
                      <w:sz w:val="21"/>
                      <w:szCs w:val="21"/>
                      <w:highlight w:val="none"/>
                    </w:rPr>
                    <w:t>选用低噪声设备并加强设备维护保养、同时采取隔声、减震等措施</w:t>
                  </w:r>
                </w:p>
              </w:tc>
              <w:tc>
                <w:tcPr>
                  <w:tcW w:w="415" w:type="pct"/>
                  <w:tcBorders>
                    <w:tl2br w:val="nil"/>
                    <w:tr2bl w:val="nil"/>
                  </w:tcBorders>
                  <w:noWrap w:val="0"/>
                  <w:vAlign w:val="center"/>
                </w:tcPr>
                <w:p w14:paraId="6249405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pacing w:val="12"/>
                      <w:sz w:val="21"/>
                      <w:szCs w:val="21"/>
                      <w:highlight w:val="none"/>
                    </w:rPr>
                  </w:pPr>
                </w:p>
              </w:tc>
            </w:tr>
            <w:tr w14:paraId="631D371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445" w:type="pct"/>
                  <w:vMerge w:val="continue"/>
                  <w:tcBorders>
                    <w:tl2br w:val="nil"/>
                    <w:tr2bl w:val="nil"/>
                  </w:tcBorders>
                  <w:noWrap w:val="0"/>
                  <w:vAlign w:val="center"/>
                </w:tcPr>
                <w:p w14:paraId="0B6005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Cs w:val="21"/>
                      <w:highlight w:val="none"/>
                    </w:rPr>
                  </w:pPr>
                </w:p>
              </w:tc>
              <w:tc>
                <w:tcPr>
                  <w:tcW w:w="387" w:type="pct"/>
                  <w:gridSpan w:val="2"/>
                  <w:vMerge w:val="restart"/>
                  <w:tcBorders>
                    <w:tl2br w:val="nil"/>
                    <w:tr2bl w:val="nil"/>
                  </w:tcBorders>
                  <w:noWrap w:val="0"/>
                  <w:vAlign w:val="center"/>
                </w:tcPr>
                <w:p w14:paraId="2CE922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固废</w:t>
                  </w:r>
                </w:p>
              </w:tc>
              <w:tc>
                <w:tcPr>
                  <w:tcW w:w="519" w:type="pct"/>
                  <w:tcBorders>
                    <w:tl2br w:val="nil"/>
                    <w:tr2bl w:val="nil"/>
                  </w:tcBorders>
                  <w:noWrap w:val="0"/>
                  <w:vAlign w:val="center"/>
                </w:tcPr>
                <w:p w14:paraId="62F01ECF">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一般固废</w:t>
                  </w:r>
                </w:p>
              </w:tc>
              <w:tc>
                <w:tcPr>
                  <w:tcW w:w="3232" w:type="pct"/>
                  <w:tcBorders>
                    <w:tl2br w:val="nil"/>
                    <w:tr2bl w:val="nil"/>
                  </w:tcBorders>
                  <w:noWrap w:val="0"/>
                  <w:vAlign w:val="center"/>
                </w:tcPr>
                <w:p w14:paraId="19F2EC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初清杂质</w:t>
                  </w:r>
                  <w:r>
                    <w:rPr>
                      <w:rFonts w:hint="eastAsia"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除尘器收集</w:t>
                  </w:r>
                  <w:r>
                    <w:rPr>
                      <w:rFonts w:hint="default" w:ascii="Times New Roman" w:hAnsi="Times New Roman" w:cs="Times New Roman"/>
                      <w:b w:val="0"/>
                      <w:bCs w:val="0"/>
                      <w:color w:val="auto"/>
                      <w:sz w:val="21"/>
                      <w:szCs w:val="21"/>
                      <w:highlight w:val="none"/>
                      <w:lang w:eastAsia="zh-CN"/>
                    </w:rPr>
                    <w:t>的</w:t>
                  </w:r>
                  <w:r>
                    <w:rPr>
                      <w:rFonts w:hint="default" w:ascii="Times New Roman" w:hAnsi="Times New Roman" w:eastAsia="宋体" w:cs="Times New Roman"/>
                      <w:b w:val="0"/>
                      <w:bCs w:val="0"/>
                      <w:color w:val="auto"/>
                      <w:sz w:val="21"/>
                      <w:szCs w:val="21"/>
                      <w:highlight w:val="none"/>
                      <w:lang w:val="en-US" w:eastAsia="zh-CN"/>
                    </w:rPr>
                    <w:t>灰</w:t>
                  </w:r>
                  <w:r>
                    <w:rPr>
                      <w:rFonts w:hint="default" w:ascii="Times New Roman" w:hAnsi="Times New Roman" w:eastAsia="宋体" w:cs="Times New Roman"/>
                      <w:b w:val="0"/>
                      <w:bCs w:val="0"/>
                      <w:color w:val="auto"/>
                      <w:sz w:val="21"/>
                      <w:szCs w:val="21"/>
                      <w:highlight w:val="none"/>
                    </w:rPr>
                    <w:t>尘</w:t>
                  </w:r>
                  <w:r>
                    <w:rPr>
                      <w:rFonts w:hint="eastAsia" w:cs="Times New Roman"/>
                      <w:b w:val="0"/>
                      <w:bCs w:val="0"/>
                      <w:color w:val="auto"/>
                      <w:sz w:val="21"/>
                      <w:szCs w:val="21"/>
                      <w:highlight w:val="none"/>
                      <w:lang w:val="en-US" w:eastAsia="zh-CN"/>
                    </w:rPr>
                    <w:t>及</w:t>
                  </w:r>
                  <w:r>
                    <w:rPr>
                      <w:rFonts w:hint="default" w:ascii="Times New Roman" w:hAnsi="Times New Roman" w:eastAsia="宋体" w:cs="Times New Roman"/>
                      <w:b w:val="0"/>
                      <w:bCs w:val="0"/>
                      <w:color w:val="auto"/>
                      <w:spacing w:val="12"/>
                      <w:sz w:val="21"/>
                      <w:szCs w:val="21"/>
                      <w:highlight w:val="none"/>
                    </w:rPr>
                    <w:t>热风炉灰渣</w:t>
                  </w:r>
                  <w:r>
                    <w:rPr>
                      <w:rFonts w:hint="default" w:ascii="Times New Roman" w:hAnsi="Times New Roman" w:eastAsia="宋体" w:cs="Times New Roman"/>
                      <w:b w:val="0"/>
                      <w:bCs w:val="0"/>
                      <w:color w:val="auto"/>
                      <w:sz w:val="21"/>
                      <w:szCs w:val="21"/>
                      <w:highlight w:val="none"/>
                      <w:lang w:val="en-US" w:eastAsia="zh-CN"/>
                    </w:rPr>
                    <w:t>出售给农户作为农家肥；</w:t>
                  </w:r>
                  <w:r>
                    <w:rPr>
                      <w:rFonts w:hint="eastAsia"/>
                      <w:b w:val="0"/>
                      <w:bCs w:val="0"/>
                      <w:color w:val="auto"/>
                      <w:highlight w:val="none"/>
                      <w:lang w:val="en-US" w:eastAsia="zh-CN"/>
                    </w:rPr>
                    <w:t>脱硫石膏</w:t>
                  </w:r>
                  <w:bookmarkStart w:id="3" w:name="hmcheck_338e2659a72b4a798e129a171854a585"/>
                  <w:r>
                    <w:rPr>
                      <w:rFonts w:hint="eastAsia"/>
                      <w:b w:val="0"/>
                      <w:bCs w:val="0"/>
                      <w:color w:val="auto"/>
                      <w:highlight w:val="none"/>
                      <w:lang w:val="en-US" w:eastAsia="zh-CN"/>
                    </w:rPr>
                    <w:t>外售</w:t>
                  </w:r>
                  <w:bookmarkEnd w:id="3"/>
                  <w:r>
                    <w:rPr>
                      <w:rFonts w:hint="eastAsia"/>
                      <w:b w:val="0"/>
                      <w:bCs w:val="0"/>
                      <w:color w:val="auto"/>
                      <w:highlight w:val="none"/>
                      <w:lang w:val="en-US" w:eastAsia="zh-CN"/>
                    </w:rPr>
                    <w:t>建材公司作为原料使用；生物质颗粒、生石灰、氢氧化钠包装袋</w:t>
                  </w:r>
                  <w:r>
                    <w:rPr>
                      <w:rFonts w:hint="eastAsia" w:ascii="Times New Roman" w:hAnsi="Times New Roman" w:eastAsia="宋体" w:cs="Times New Roman"/>
                      <w:b w:val="0"/>
                      <w:bCs w:val="0"/>
                      <w:color w:val="auto"/>
                      <w:sz w:val="21"/>
                      <w:szCs w:val="21"/>
                      <w:highlight w:val="none"/>
                      <w:lang w:val="en-US" w:eastAsia="zh-CN"/>
                    </w:rPr>
                    <w:t>收集后外售物资回收公司；布袋除尘器产生的废布袋由设备厂家回收处理。</w:t>
                  </w:r>
                </w:p>
              </w:tc>
              <w:tc>
                <w:tcPr>
                  <w:tcW w:w="415" w:type="pct"/>
                  <w:tcBorders>
                    <w:tl2br w:val="nil"/>
                    <w:tr2bl w:val="nil"/>
                  </w:tcBorders>
                  <w:noWrap w:val="0"/>
                  <w:vAlign w:val="center"/>
                </w:tcPr>
                <w:p w14:paraId="2D70FF1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val="0"/>
                      <w:bCs w:val="0"/>
                      <w:color w:val="auto"/>
                      <w:sz w:val="21"/>
                      <w:szCs w:val="21"/>
                      <w:highlight w:val="none"/>
                    </w:rPr>
                  </w:pPr>
                </w:p>
              </w:tc>
            </w:tr>
            <w:tr w14:paraId="65D3B49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445" w:type="pct"/>
                  <w:vMerge w:val="continue"/>
                  <w:tcBorders>
                    <w:tl2br w:val="nil"/>
                    <w:tr2bl w:val="nil"/>
                  </w:tcBorders>
                  <w:noWrap w:val="0"/>
                  <w:vAlign w:val="center"/>
                </w:tcPr>
                <w:p w14:paraId="4EE000D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val="0"/>
                      <w:bCs w:val="0"/>
                      <w:color w:val="auto"/>
                      <w:highlight w:val="none"/>
                    </w:rPr>
                  </w:pPr>
                </w:p>
              </w:tc>
              <w:tc>
                <w:tcPr>
                  <w:tcW w:w="387" w:type="pct"/>
                  <w:gridSpan w:val="2"/>
                  <w:vMerge w:val="continue"/>
                  <w:tcBorders>
                    <w:tl2br w:val="nil"/>
                    <w:tr2bl w:val="nil"/>
                  </w:tcBorders>
                  <w:noWrap w:val="0"/>
                  <w:vAlign w:val="center"/>
                </w:tcPr>
                <w:p w14:paraId="44CDE29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c>
                <w:tcPr>
                  <w:tcW w:w="519" w:type="pct"/>
                  <w:tcBorders>
                    <w:tl2br w:val="nil"/>
                    <w:tr2bl w:val="nil"/>
                  </w:tcBorders>
                  <w:noWrap w:val="0"/>
                  <w:vAlign w:val="center"/>
                </w:tcPr>
                <w:p w14:paraId="7F8FB8FE">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危险废物</w:t>
                  </w:r>
                </w:p>
              </w:tc>
              <w:tc>
                <w:tcPr>
                  <w:tcW w:w="3232" w:type="pct"/>
                  <w:tcBorders>
                    <w:tl2br w:val="nil"/>
                    <w:tr2bl w:val="nil"/>
                  </w:tcBorders>
                  <w:noWrap w:val="0"/>
                  <w:vAlign w:val="center"/>
                </w:tcPr>
                <w:p w14:paraId="5D569BE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highlight w:val="none"/>
                      <w:lang w:val="en-US" w:eastAsia="zh-CN"/>
                    </w:rPr>
                    <w:t>设置危险废物贮存点，</w:t>
                  </w:r>
                  <w:r>
                    <w:rPr>
                      <w:rFonts w:hint="eastAsia" w:ascii="Times New Roman" w:hAnsi="Times New Roman" w:cs="Times New Roman"/>
                      <w:b w:val="0"/>
                      <w:bCs w:val="0"/>
                      <w:color w:val="auto"/>
                      <w:highlight w:val="none"/>
                      <w:lang w:val="en-US" w:eastAsia="zh-CN"/>
                    </w:rPr>
                    <w:t>机械设备检修产生的废机油、废油桶等</w:t>
                  </w:r>
                  <w:r>
                    <w:rPr>
                      <w:rFonts w:hint="default" w:ascii="Times New Roman" w:hAnsi="Times New Roman" w:cs="Times New Roman"/>
                      <w:b w:val="0"/>
                      <w:bCs w:val="0"/>
                      <w:color w:val="auto"/>
                      <w:highlight w:val="none"/>
                      <w:lang w:val="en-US" w:eastAsia="zh-CN"/>
                    </w:rPr>
                    <w:t>危险废物在危险废物贮存点暂存，定期交由具有相应处理资质的单位进行后续处置</w:t>
                  </w:r>
                  <w:r>
                    <w:rPr>
                      <w:rFonts w:hint="default" w:ascii="Times New Roman" w:hAnsi="Times New Roman" w:eastAsia="宋体" w:cs="Times New Roman"/>
                      <w:b w:val="0"/>
                      <w:bCs w:val="0"/>
                      <w:color w:val="auto"/>
                      <w:spacing w:val="12"/>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废含油抹布</w:t>
                  </w:r>
                  <w:r>
                    <w:rPr>
                      <w:rFonts w:hint="eastAsia" w:cs="Times New Roman"/>
                      <w:b w:val="0"/>
                      <w:bCs w:val="0"/>
                      <w:color w:val="auto"/>
                      <w:sz w:val="21"/>
                      <w:szCs w:val="21"/>
                      <w:highlight w:val="none"/>
                      <w:lang w:val="en-US" w:eastAsia="zh-CN"/>
                    </w:rPr>
                    <w:t>已豁免，与生活垃圾一起处理。</w:t>
                  </w:r>
                </w:p>
              </w:tc>
              <w:tc>
                <w:tcPr>
                  <w:tcW w:w="415" w:type="pct"/>
                  <w:tcBorders>
                    <w:tl2br w:val="nil"/>
                    <w:tr2bl w:val="nil"/>
                  </w:tcBorders>
                  <w:noWrap w:val="0"/>
                  <w:vAlign w:val="center"/>
                </w:tcPr>
                <w:p w14:paraId="3CC2AE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r>
            <w:tr w14:paraId="1B81EB7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445" w:type="pct"/>
                  <w:vMerge w:val="continue"/>
                  <w:tcBorders>
                    <w:tl2br w:val="nil"/>
                    <w:tr2bl w:val="nil"/>
                  </w:tcBorders>
                  <w:noWrap w:val="0"/>
                  <w:vAlign w:val="center"/>
                </w:tcPr>
                <w:p w14:paraId="78CDADB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c>
                <w:tcPr>
                  <w:tcW w:w="387" w:type="pct"/>
                  <w:gridSpan w:val="2"/>
                  <w:vMerge w:val="continue"/>
                  <w:tcBorders>
                    <w:tl2br w:val="nil"/>
                    <w:tr2bl w:val="nil"/>
                  </w:tcBorders>
                  <w:noWrap w:val="0"/>
                  <w:vAlign w:val="center"/>
                </w:tcPr>
                <w:p w14:paraId="0C91B8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c>
                <w:tcPr>
                  <w:tcW w:w="519" w:type="pct"/>
                  <w:tcBorders>
                    <w:tl2br w:val="nil"/>
                    <w:tr2bl w:val="nil"/>
                  </w:tcBorders>
                  <w:noWrap w:val="0"/>
                  <w:vAlign w:val="center"/>
                </w:tcPr>
                <w:p w14:paraId="03C57446">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办公生活</w:t>
                  </w:r>
                </w:p>
              </w:tc>
              <w:tc>
                <w:tcPr>
                  <w:tcW w:w="3232" w:type="pct"/>
                  <w:tcBorders>
                    <w:tl2br w:val="nil"/>
                    <w:tr2bl w:val="nil"/>
                  </w:tcBorders>
                  <w:noWrap w:val="0"/>
                  <w:vAlign w:val="center"/>
                </w:tcPr>
                <w:p w14:paraId="41E4D1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生活垃圾集中收集，定期送当地环卫部门处理</w:t>
                  </w:r>
                </w:p>
              </w:tc>
              <w:tc>
                <w:tcPr>
                  <w:tcW w:w="415" w:type="pct"/>
                  <w:tcBorders>
                    <w:tl2br w:val="nil"/>
                    <w:tr2bl w:val="nil"/>
                  </w:tcBorders>
                  <w:noWrap w:val="0"/>
                  <w:vAlign w:val="center"/>
                </w:tcPr>
                <w:p w14:paraId="0F5747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z w:val="21"/>
                      <w:szCs w:val="21"/>
                      <w:highlight w:val="none"/>
                      <w:lang w:val="en-US" w:eastAsia="zh-CN"/>
                    </w:rPr>
                  </w:pPr>
                </w:p>
              </w:tc>
            </w:tr>
          </w:tbl>
          <w:p w14:paraId="5A4A5323">
            <w:pPr>
              <w:pStyle w:val="31"/>
              <w:spacing w:before="143" w:line="219" w:lineRule="auto"/>
              <w:ind w:left="97"/>
              <w:outlineLvl w:val="0"/>
              <w:rPr>
                <w:rFonts w:hint="default" w:ascii="Times New Roman" w:hAnsi="Times New Roman" w:cs="Times New Roman"/>
                <w:color w:val="auto"/>
                <w:highlight w:val="none"/>
              </w:rPr>
            </w:pPr>
            <w:r>
              <w:rPr>
                <w:rFonts w:hint="default" w:ascii="Times New Roman" w:hAnsi="Times New Roman" w:cs="Times New Roman"/>
                <w:b/>
                <w:bCs/>
                <w:snapToGrid w:val="0"/>
                <w:color w:val="auto"/>
                <w:kern w:val="0"/>
                <w:sz w:val="24"/>
                <w:szCs w:val="24"/>
                <w:highlight w:val="none"/>
                <w:lang w:val="en-US" w:eastAsia="zh-CN" w:bidi="ar-SA"/>
              </w:rPr>
              <w:t>3、</w:t>
            </w:r>
            <w:r>
              <w:rPr>
                <w:rFonts w:hint="default" w:ascii="Times New Roman" w:hAnsi="Times New Roman" w:eastAsia="宋体" w:cs="Times New Roman"/>
                <w:b/>
                <w:bCs/>
                <w:snapToGrid w:val="0"/>
                <w:color w:val="auto"/>
                <w:kern w:val="0"/>
                <w:sz w:val="24"/>
                <w:szCs w:val="24"/>
                <w:highlight w:val="none"/>
                <w:lang w:val="en-US" w:eastAsia="zh-CN" w:bidi="ar-SA"/>
              </w:rPr>
              <w:t>产品及产能</w:t>
            </w:r>
          </w:p>
          <w:p w14:paraId="32E99488">
            <w:pPr>
              <w:pStyle w:val="31"/>
              <w:spacing w:before="213" w:line="219" w:lineRule="auto"/>
              <w:ind w:left="579"/>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本项目产品及产能见表2-</w:t>
            </w:r>
            <w:r>
              <w:rPr>
                <w:rFonts w:hint="default" w:ascii="Times New Roman" w:hAnsi="Times New Roman" w:cs="Times New Roman"/>
                <w:snapToGrid w:val="0"/>
                <w:color w:val="auto"/>
                <w:kern w:val="0"/>
                <w:sz w:val="24"/>
                <w:szCs w:val="24"/>
                <w:highlight w:val="none"/>
                <w:lang w:val="en-US" w:eastAsia="zh-CN" w:bidi="ar-SA"/>
              </w:rPr>
              <w:t>2</w:t>
            </w:r>
            <w:r>
              <w:rPr>
                <w:rFonts w:hint="default" w:ascii="Times New Roman" w:hAnsi="Times New Roman" w:eastAsia="宋体" w:cs="Times New Roman"/>
                <w:snapToGrid w:val="0"/>
                <w:color w:val="auto"/>
                <w:kern w:val="0"/>
                <w:sz w:val="24"/>
                <w:szCs w:val="24"/>
                <w:highlight w:val="none"/>
                <w:lang w:val="en-US" w:eastAsia="zh-CN" w:bidi="ar-SA"/>
              </w:rPr>
              <w:t>。</w:t>
            </w:r>
          </w:p>
          <w:p w14:paraId="3CEFBC90">
            <w:pPr>
              <w:pStyle w:val="27"/>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表 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 xml:space="preserve">    项目产品及产能</w:t>
            </w:r>
          </w:p>
          <w:tbl>
            <w:tblPr>
              <w:tblStyle w:val="19"/>
              <w:tblW w:w="4998" w:type="pct"/>
              <w:jc w:val="center"/>
              <w:tblBorders>
                <w:top w:val="single" w:color="auto" w:sz="2" w:space="0"/>
                <w:left w:val="none" w:color="auto" w:sz="0" w:space="0"/>
                <w:bottom w:val="single" w:color="auto" w:sz="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2056"/>
              <w:gridCol w:w="1828"/>
              <w:gridCol w:w="2083"/>
            </w:tblGrid>
            <w:tr w14:paraId="5A9627D0">
              <w:tblPrEx>
                <w:tblBorders>
                  <w:top w:val="single" w:color="auto" w:sz="2"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pct"/>
                  <w:tcBorders>
                    <w:tl2br w:val="nil"/>
                    <w:tr2bl w:val="nil"/>
                  </w:tcBorders>
                  <w:noWrap w:val="0"/>
                  <w:vAlign w:val="center"/>
                </w:tcPr>
                <w:p w14:paraId="33D413C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310" w:type="pct"/>
                  <w:tcBorders>
                    <w:tl2br w:val="nil"/>
                    <w:tr2bl w:val="nil"/>
                  </w:tcBorders>
                  <w:noWrap w:val="0"/>
                  <w:vAlign w:val="center"/>
                </w:tcPr>
                <w:p w14:paraId="2BDAD31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产品</w:t>
                  </w:r>
                </w:p>
              </w:tc>
              <w:tc>
                <w:tcPr>
                  <w:tcW w:w="1165" w:type="pct"/>
                  <w:tcBorders>
                    <w:tl2br w:val="nil"/>
                    <w:tr2bl w:val="nil"/>
                  </w:tcBorders>
                  <w:noWrap w:val="0"/>
                  <w:vAlign w:val="center"/>
                </w:tcPr>
                <w:p w14:paraId="18F0C69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w:t>
                  </w:r>
                </w:p>
              </w:tc>
              <w:tc>
                <w:tcPr>
                  <w:tcW w:w="1327" w:type="pct"/>
                  <w:tcBorders>
                    <w:tl2br w:val="nil"/>
                    <w:tr2bl w:val="nil"/>
                  </w:tcBorders>
                  <w:noWrap w:val="0"/>
                  <w:vAlign w:val="center"/>
                </w:tcPr>
                <w:p w14:paraId="562F0AD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年产量</w:t>
                  </w:r>
                </w:p>
              </w:tc>
            </w:tr>
            <w:tr w14:paraId="557DC020">
              <w:tblPrEx>
                <w:tblBorders>
                  <w:top w:val="single" w:color="auto" w:sz="2"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pct"/>
                  <w:tcBorders>
                    <w:tl2br w:val="nil"/>
                    <w:tr2bl w:val="nil"/>
                  </w:tcBorders>
                  <w:noWrap w:val="0"/>
                  <w:vAlign w:val="center"/>
                </w:tcPr>
                <w:p w14:paraId="3D7E60FE">
                  <w:pPr>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1</w:t>
                  </w:r>
                </w:p>
              </w:tc>
              <w:tc>
                <w:tcPr>
                  <w:tcW w:w="1310" w:type="pct"/>
                  <w:tcBorders>
                    <w:tl2br w:val="nil"/>
                    <w:tr2bl w:val="nil"/>
                  </w:tcBorders>
                  <w:noWrap w:val="0"/>
                  <w:vAlign w:val="center"/>
                </w:tcPr>
                <w:p w14:paraId="1208D63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pacing w:val="8"/>
                      <w:sz w:val="21"/>
                      <w:szCs w:val="21"/>
                      <w:highlight w:val="none"/>
                    </w:rPr>
                    <w:t>干玉米籽粒</w:t>
                  </w:r>
                </w:p>
              </w:tc>
              <w:tc>
                <w:tcPr>
                  <w:tcW w:w="1165" w:type="pct"/>
                  <w:tcBorders>
                    <w:tl2br w:val="nil"/>
                    <w:tr2bl w:val="nil"/>
                  </w:tcBorders>
                  <w:noWrap w:val="0"/>
                  <w:vAlign w:val="center"/>
                </w:tcPr>
                <w:p w14:paraId="33CCEBA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t/a</w:t>
                  </w:r>
                </w:p>
              </w:tc>
              <w:tc>
                <w:tcPr>
                  <w:tcW w:w="1327" w:type="pct"/>
                  <w:tcBorders>
                    <w:tl2br w:val="nil"/>
                    <w:tr2bl w:val="nil"/>
                  </w:tcBorders>
                  <w:noWrap w:val="0"/>
                  <w:vAlign w:val="center"/>
                </w:tcPr>
                <w:p w14:paraId="35D1C4B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120000</w:t>
                  </w:r>
                </w:p>
              </w:tc>
            </w:tr>
          </w:tbl>
          <w:p w14:paraId="0070EA07">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cs="Times New Roman"/>
                <w:b/>
                <w:bCs/>
                <w:snapToGrid w:val="0"/>
                <w:color w:val="auto"/>
                <w:kern w:val="0"/>
                <w:sz w:val="24"/>
                <w:highlight w:val="none"/>
                <w:lang w:val="en-US" w:eastAsia="zh-CN"/>
              </w:rPr>
              <w:t>4、</w:t>
            </w:r>
            <w:r>
              <w:rPr>
                <w:rFonts w:hint="default" w:ascii="Times New Roman" w:hAnsi="Times New Roman" w:eastAsia="宋体" w:cs="Times New Roman"/>
                <w:b/>
                <w:bCs/>
                <w:snapToGrid w:val="0"/>
                <w:color w:val="auto"/>
                <w:kern w:val="0"/>
                <w:sz w:val="24"/>
                <w:highlight w:val="none"/>
                <w:lang w:val="en-US" w:eastAsia="zh-CN"/>
              </w:rPr>
              <w:t>主要生产设备</w:t>
            </w:r>
          </w:p>
          <w:p w14:paraId="46CD6B66">
            <w:pPr>
              <w:spacing w:line="360" w:lineRule="auto"/>
              <w:ind w:firstLine="480" w:firstLineChars="200"/>
              <w:rPr>
                <w:rFonts w:hint="default" w:ascii="Times New Roman" w:hAnsi="Times New Roman" w:cs="Times New Roman"/>
                <w:snapToGrid w:val="0"/>
                <w:color w:val="auto"/>
                <w:kern w:val="0"/>
                <w:sz w:val="24"/>
                <w:highlight w:val="none"/>
              </w:rPr>
            </w:pPr>
            <w:r>
              <w:rPr>
                <w:rFonts w:hint="default" w:ascii="Times New Roman" w:hAnsi="Times New Roman" w:cs="Times New Roman"/>
                <w:snapToGrid w:val="0"/>
                <w:color w:val="auto"/>
                <w:kern w:val="0"/>
                <w:sz w:val="24"/>
                <w:highlight w:val="none"/>
              </w:rPr>
              <w:t>本</w:t>
            </w:r>
            <w:r>
              <w:rPr>
                <w:rFonts w:hint="default" w:ascii="Times New Roman" w:hAnsi="Times New Roman" w:cs="Times New Roman"/>
                <w:snapToGrid w:val="0"/>
                <w:color w:val="auto"/>
                <w:kern w:val="0"/>
                <w:sz w:val="24"/>
                <w:highlight w:val="none"/>
                <w:lang w:val="en-US" w:eastAsia="zh-CN"/>
              </w:rPr>
              <w:t>项目</w:t>
            </w:r>
            <w:r>
              <w:rPr>
                <w:rFonts w:hint="default" w:ascii="Times New Roman" w:hAnsi="Times New Roman" w:cs="Times New Roman"/>
                <w:snapToGrid w:val="0"/>
                <w:color w:val="auto"/>
                <w:kern w:val="0"/>
                <w:sz w:val="24"/>
                <w:highlight w:val="none"/>
              </w:rPr>
              <w:t>新增主要生产设备情况见表2-</w:t>
            </w:r>
            <w:r>
              <w:rPr>
                <w:rFonts w:hint="default" w:ascii="Times New Roman" w:hAnsi="Times New Roman" w:cs="Times New Roman"/>
                <w:snapToGrid w:val="0"/>
                <w:color w:val="auto"/>
                <w:kern w:val="0"/>
                <w:sz w:val="24"/>
                <w:highlight w:val="none"/>
                <w:lang w:val="en-US" w:eastAsia="zh-CN"/>
              </w:rPr>
              <w:t>3</w:t>
            </w:r>
            <w:r>
              <w:rPr>
                <w:rFonts w:hint="default" w:ascii="Times New Roman" w:hAnsi="Times New Roman" w:cs="Times New Roman"/>
                <w:snapToGrid w:val="0"/>
                <w:color w:val="auto"/>
                <w:kern w:val="0"/>
                <w:sz w:val="24"/>
                <w:highlight w:val="none"/>
              </w:rPr>
              <w:t>。</w:t>
            </w:r>
          </w:p>
          <w:p w14:paraId="424088F8">
            <w:pPr>
              <w:pStyle w:val="2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 xml:space="preserve">    本</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主要生产设备一览表</w:t>
            </w:r>
          </w:p>
          <w:tbl>
            <w:tblPr>
              <w:tblStyle w:val="32"/>
              <w:tblW w:w="4998" w:type="pct"/>
              <w:tblInd w:w="2" w:type="dxa"/>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578"/>
              <w:gridCol w:w="1717"/>
              <w:gridCol w:w="1897"/>
              <w:gridCol w:w="744"/>
              <w:gridCol w:w="2908"/>
            </w:tblGrid>
            <w:tr w14:paraId="59339412">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19963F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序号</w:t>
                  </w:r>
                </w:p>
              </w:tc>
              <w:tc>
                <w:tcPr>
                  <w:tcW w:w="1094" w:type="pct"/>
                  <w:vAlign w:val="center"/>
                </w:tcPr>
                <w:p w14:paraId="16460C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设备名称</w:t>
                  </w:r>
                </w:p>
              </w:tc>
              <w:tc>
                <w:tcPr>
                  <w:tcW w:w="1209" w:type="pct"/>
                  <w:vAlign w:val="center"/>
                </w:tcPr>
                <w:p w14:paraId="32D942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型号规格</w:t>
                  </w:r>
                </w:p>
              </w:tc>
              <w:tc>
                <w:tcPr>
                  <w:tcW w:w="474" w:type="pct"/>
                  <w:vAlign w:val="center"/>
                </w:tcPr>
                <w:p w14:paraId="3BC1EA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数量</w:t>
                  </w:r>
                </w:p>
              </w:tc>
              <w:tc>
                <w:tcPr>
                  <w:tcW w:w="1853" w:type="pct"/>
                  <w:vAlign w:val="center"/>
                </w:tcPr>
                <w:p w14:paraId="6203E8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主要参数</w:t>
                  </w:r>
                </w:p>
              </w:tc>
            </w:tr>
            <w:tr w14:paraId="55167127">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5A749C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w:t>
                  </w:r>
                </w:p>
              </w:tc>
              <w:tc>
                <w:tcPr>
                  <w:tcW w:w="1094" w:type="pct"/>
                  <w:vAlign w:val="center"/>
                </w:tcPr>
                <w:p w14:paraId="7CE1FE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筛前提升机</w:t>
                  </w:r>
                </w:p>
              </w:tc>
              <w:tc>
                <w:tcPr>
                  <w:tcW w:w="1209" w:type="pct"/>
                  <w:vAlign w:val="center"/>
                </w:tcPr>
                <w:p w14:paraId="0B0F15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TDTG63/47</w:t>
                  </w:r>
                </w:p>
              </w:tc>
              <w:tc>
                <w:tcPr>
                  <w:tcW w:w="474" w:type="pct"/>
                  <w:vAlign w:val="center"/>
                </w:tcPr>
                <w:p w14:paraId="378904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2台</w:t>
                  </w:r>
                </w:p>
              </w:tc>
              <w:tc>
                <w:tcPr>
                  <w:tcW w:w="1853" w:type="pct"/>
                  <w:vAlign w:val="center"/>
                </w:tcPr>
                <w:p w14:paraId="6323CD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H=11m，Q=150t/h，N=15kW</w:t>
                  </w:r>
                </w:p>
              </w:tc>
            </w:tr>
            <w:tr w14:paraId="12D049AB">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4AFD86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w:t>
                  </w:r>
                </w:p>
              </w:tc>
              <w:tc>
                <w:tcPr>
                  <w:tcW w:w="1094" w:type="pct"/>
                  <w:vAlign w:val="center"/>
                </w:tcPr>
                <w:p w14:paraId="030A45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清理筛钢架</w:t>
                  </w:r>
                </w:p>
              </w:tc>
              <w:tc>
                <w:tcPr>
                  <w:tcW w:w="1209" w:type="pct"/>
                  <w:vAlign w:val="center"/>
                </w:tcPr>
                <w:p w14:paraId="104205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w:t>
                  </w:r>
                </w:p>
              </w:tc>
              <w:tc>
                <w:tcPr>
                  <w:tcW w:w="474" w:type="pct"/>
                  <w:vAlign w:val="center"/>
                </w:tcPr>
                <w:p w14:paraId="094542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2套</w:t>
                  </w:r>
                </w:p>
              </w:tc>
              <w:tc>
                <w:tcPr>
                  <w:tcW w:w="1853" w:type="pct"/>
                  <w:vAlign w:val="center"/>
                </w:tcPr>
                <w:p w14:paraId="0E433A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w:t>
                  </w:r>
                </w:p>
              </w:tc>
            </w:tr>
            <w:tr w14:paraId="67E57599">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540297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w:t>
                  </w:r>
                </w:p>
              </w:tc>
              <w:tc>
                <w:tcPr>
                  <w:tcW w:w="1094" w:type="pct"/>
                  <w:vAlign w:val="center"/>
                </w:tcPr>
                <w:p w14:paraId="7E6CE4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双层圆筒清理筛</w:t>
                  </w:r>
                </w:p>
              </w:tc>
              <w:tc>
                <w:tcPr>
                  <w:tcW w:w="1209" w:type="pct"/>
                  <w:vAlign w:val="center"/>
                </w:tcPr>
                <w:p w14:paraId="646B78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TCQYH100/520</w:t>
                  </w:r>
                </w:p>
              </w:tc>
              <w:tc>
                <w:tcPr>
                  <w:tcW w:w="474" w:type="pct"/>
                  <w:vAlign w:val="center"/>
                </w:tcPr>
                <w:p w14:paraId="696419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2台</w:t>
                  </w:r>
                </w:p>
              </w:tc>
              <w:tc>
                <w:tcPr>
                  <w:tcW w:w="1853" w:type="pct"/>
                  <w:vAlign w:val="center"/>
                </w:tcPr>
                <w:p w14:paraId="55C0AF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150t/h，双层筒结构N=4kw，BW-3型减速机</w:t>
                  </w:r>
                </w:p>
              </w:tc>
            </w:tr>
            <w:tr w14:paraId="0DBFD98D">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396781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4</w:t>
                  </w:r>
                </w:p>
              </w:tc>
              <w:tc>
                <w:tcPr>
                  <w:tcW w:w="1094" w:type="pct"/>
                  <w:vAlign w:val="center"/>
                </w:tcPr>
                <w:p w14:paraId="50953C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塔前提升机</w:t>
                  </w:r>
                </w:p>
              </w:tc>
              <w:tc>
                <w:tcPr>
                  <w:tcW w:w="1209" w:type="pct"/>
                  <w:vAlign w:val="center"/>
                </w:tcPr>
                <w:p w14:paraId="22887A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TDTG63/38</w:t>
                  </w:r>
                </w:p>
              </w:tc>
              <w:tc>
                <w:tcPr>
                  <w:tcW w:w="474" w:type="pct"/>
                  <w:vAlign w:val="center"/>
                </w:tcPr>
                <w:p w14:paraId="65834D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2台</w:t>
                  </w:r>
                </w:p>
              </w:tc>
              <w:tc>
                <w:tcPr>
                  <w:tcW w:w="1853" w:type="pct"/>
                  <w:vAlign w:val="center"/>
                </w:tcPr>
                <w:p w14:paraId="02A5D6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H=41m，Q=120t/h，N=37kW</w:t>
                  </w:r>
                </w:p>
              </w:tc>
            </w:tr>
            <w:tr w14:paraId="183FC36B">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77E67B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5</w:t>
                  </w:r>
                </w:p>
              </w:tc>
              <w:tc>
                <w:tcPr>
                  <w:tcW w:w="1094" w:type="pct"/>
                  <w:vAlign w:val="center"/>
                </w:tcPr>
                <w:p w14:paraId="6F46FC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提升机塔架</w:t>
                  </w:r>
                </w:p>
              </w:tc>
              <w:tc>
                <w:tcPr>
                  <w:tcW w:w="1209" w:type="pct"/>
                  <w:vAlign w:val="center"/>
                </w:tcPr>
                <w:p w14:paraId="25EFEB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p>
              </w:tc>
              <w:tc>
                <w:tcPr>
                  <w:tcW w:w="474" w:type="pct"/>
                  <w:vAlign w:val="center"/>
                </w:tcPr>
                <w:p w14:paraId="47437C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2个</w:t>
                  </w:r>
                </w:p>
              </w:tc>
              <w:tc>
                <w:tcPr>
                  <w:tcW w:w="1853" w:type="pct"/>
                  <w:vAlign w:val="center"/>
                </w:tcPr>
                <w:p w14:paraId="2A372B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2.5*2.5m</w:t>
                  </w:r>
                </w:p>
              </w:tc>
            </w:tr>
            <w:tr w14:paraId="131EF878">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5CC0FE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6</w:t>
                  </w:r>
                </w:p>
              </w:tc>
              <w:tc>
                <w:tcPr>
                  <w:tcW w:w="1094" w:type="pct"/>
                  <w:vAlign w:val="center"/>
                </w:tcPr>
                <w:p w14:paraId="5BF6E9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sz w:val="21"/>
                      <w:szCs w:val="21"/>
                      <w:highlight w:val="none"/>
                      <w:lang w:val="en-US" w:eastAsia="zh-CN"/>
                    </w:rPr>
                    <w:t>烘干塔</w:t>
                  </w:r>
                </w:p>
              </w:tc>
              <w:tc>
                <w:tcPr>
                  <w:tcW w:w="1209" w:type="pct"/>
                  <w:vAlign w:val="center"/>
                </w:tcPr>
                <w:p w14:paraId="1FDB64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5HZG-1200</w:t>
                  </w:r>
                </w:p>
              </w:tc>
              <w:tc>
                <w:tcPr>
                  <w:tcW w:w="474" w:type="pct"/>
                  <w:vAlign w:val="center"/>
                </w:tcPr>
                <w:p w14:paraId="4F483C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2套</w:t>
                  </w:r>
                </w:p>
              </w:tc>
              <w:tc>
                <w:tcPr>
                  <w:tcW w:w="1853" w:type="pct"/>
                  <w:vAlign w:val="center"/>
                </w:tcPr>
                <w:p w14:paraId="3F4B17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H=35.15m，N=4kW，内截面5.5×5.5m</w:t>
                  </w:r>
                </w:p>
              </w:tc>
            </w:tr>
            <w:tr w14:paraId="2C7BCAD2">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4F491E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7</w:t>
                  </w:r>
                </w:p>
              </w:tc>
              <w:tc>
                <w:tcPr>
                  <w:tcW w:w="1094" w:type="pct"/>
                  <w:vAlign w:val="center"/>
                </w:tcPr>
                <w:p w14:paraId="22E37B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燃</w:t>
                  </w:r>
                  <w:r>
                    <w:rPr>
                      <w:rFonts w:hint="default" w:ascii="Times New Roman" w:hAnsi="Times New Roman" w:cs="Times New Roman"/>
                      <w:bCs/>
                      <w:color w:val="auto"/>
                      <w:sz w:val="21"/>
                      <w:szCs w:val="21"/>
                      <w:highlight w:val="none"/>
                      <w:lang w:val="en-US" w:eastAsia="zh-CN"/>
                    </w:rPr>
                    <w:t>生物质</w:t>
                  </w:r>
                  <w:r>
                    <w:rPr>
                      <w:rFonts w:hint="default" w:ascii="Times New Roman" w:hAnsi="Times New Roman" w:cs="Times New Roman"/>
                      <w:bCs/>
                      <w:color w:val="auto"/>
                      <w:sz w:val="21"/>
                      <w:szCs w:val="21"/>
                      <w:highlight w:val="none"/>
                    </w:rPr>
                    <w:t>热风炉</w:t>
                  </w:r>
                </w:p>
              </w:tc>
              <w:tc>
                <w:tcPr>
                  <w:tcW w:w="1209" w:type="pct"/>
                  <w:vAlign w:val="center"/>
                </w:tcPr>
                <w:p w14:paraId="2D5499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ZGL-Ⅲ-25</w:t>
                  </w:r>
                </w:p>
              </w:tc>
              <w:tc>
                <w:tcPr>
                  <w:tcW w:w="474" w:type="pct"/>
                  <w:vAlign w:val="center"/>
                </w:tcPr>
                <w:p w14:paraId="32F144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2套</w:t>
                  </w:r>
                </w:p>
              </w:tc>
              <w:tc>
                <w:tcPr>
                  <w:tcW w:w="1853" w:type="pct"/>
                  <w:vAlign w:val="center"/>
                </w:tcPr>
                <w:p w14:paraId="1BF365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Q=15000000kcal/h</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热风炉电磁调速电机N=1.5kw出渣机N=2.2kw、鼓：4-72No8C/37kw引：Y6-51No12D/132kw</w:t>
                  </w:r>
                </w:p>
              </w:tc>
            </w:tr>
            <w:tr w14:paraId="7066700B">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13EBC9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8</w:t>
                  </w:r>
                </w:p>
              </w:tc>
              <w:tc>
                <w:tcPr>
                  <w:tcW w:w="1094" w:type="pct"/>
                  <w:vAlign w:val="center"/>
                </w:tcPr>
                <w:p w14:paraId="7E0957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陶瓷多管除尘器</w:t>
                  </w:r>
                </w:p>
              </w:tc>
              <w:tc>
                <w:tcPr>
                  <w:tcW w:w="1209" w:type="pct"/>
                  <w:vAlign w:val="center"/>
                </w:tcPr>
                <w:p w14:paraId="27FB4B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XTD-25型</w:t>
                  </w:r>
                </w:p>
              </w:tc>
              <w:tc>
                <w:tcPr>
                  <w:tcW w:w="474" w:type="pct"/>
                  <w:vAlign w:val="center"/>
                </w:tcPr>
                <w:p w14:paraId="704FD9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2台</w:t>
                  </w:r>
                </w:p>
              </w:tc>
              <w:tc>
                <w:tcPr>
                  <w:tcW w:w="1853" w:type="pct"/>
                  <w:vAlign w:val="center"/>
                </w:tcPr>
                <w:p w14:paraId="19ABDD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处理风量：72000m³/h</w:t>
                  </w:r>
                </w:p>
              </w:tc>
            </w:tr>
            <w:tr w14:paraId="5ABE4BAC">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7019C2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9</w:t>
                  </w:r>
                </w:p>
              </w:tc>
              <w:tc>
                <w:tcPr>
                  <w:tcW w:w="1094" w:type="pct"/>
                  <w:vAlign w:val="center"/>
                </w:tcPr>
                <w:p w14:paraId="6C5BA9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布袋除尘器</w:t>
                  </w:r>
                </w:p>
              </w:tc>
              <w:tc>
                <w:tcPr>
                  <w:tcW w:w="1209" w:type="pct"/>
                  <w:vAlign w:val="center"/>
                </w:tcPr>
                <w:p w14:paraId="2A3978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c>
                <w:tcPr>
                  <w:tcW w:w="474" w:type="pct"/>
                  <w:vAlign w:val="center"/>
                </w:tcPr>
                <w:p w14:paraId="7F2084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2台</w:t>
                  </w:r>
                </w:p>
              </w:tc>
              <w:tc>
                <w:tcPr>
                  <w:tcW w:w="1853" w:type="pct"/>
                  <w:vAlign w:val="center"/>
                </w:tcPr>
                <w:p w14:paraId="48E9D5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处理风量：72000m³/h</w:t>
                  </w:r>
                </w:p>
              </w:tc>
            </w:tr>
            <w:tr w14:paraId="04DF924D">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shd w:val="clear" w:color="auto" w:fill="auto"/>
                  <w:vAlign w:val="center"/>
                </w:tcPr>
                <w:p w14:paraId="70C5ED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10</w:t>
                  </w:r>
                </w:p>
              </w:tc>
              <w:tc>
                <w:tcPr>
                  <w:tcW w:w="1094" w:type="pct"/>
                  <w:vAlign w:val="center"/>
                </w:tcPr>
                <w:p w14:paraId="754D36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高效喷淋脱硫塔</w:t>
                  </w:r>
                </w:p>
              </w:tc>
              <w:tc>
                <w:tcPr>
                  <w:tcW w:w="1209" w:type="pct"/>
                  <w:vAlign w:val="center"/>
                </w:tcPr>
                <w:p w14:paraId="7DE1A0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PLT-25型</w:t>
                  </w:r>
                </w:p>
              </w:tc>
              <w:tc>
                <w:tcPr>
                  <w:tcW w:w="474" w:type="pct"/>
                  <w:vAlign w:val="center"/>
                </w:tcPr>
                <w:p w14:paraId="7F851C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2台</w:t>
                  </w:r>
                </w:p>
              </w:tc>
              <w:tc>
                <w:tcPr>
                  <w:tcW w:w="1853" w:type="pct"/>
                  <w:vAlign w:val="center"/>
                </w:tcPr>
                <w:p w14:paraId="48D4C6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处理风量：72000m³/h</w:t>
                  </w:r>
                </w:p>
              </w:tc>
            </w:tr>
            <w:tr w14:paraId="65B99603">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shd w:val="clear" w:color="auto" w:fill="auto"/>
                  <w:vAlign w:val="center"/>
                </w:tcPr>
                <w:p w14:paraId="0424B4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11</w:t>
                  </w:r>
                </w:p>
              </w:tc>
              <w:tc>
                <w:tcPr>
                  <w:tcW w:w="1094" w:type="pct"/>
                  <w:vAlign w:val="center"/>
                </w:tcPr>
                <w:p w14:paraId="287FE1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电气系统及电缆、电线、线管</w:t>
                  </w:r>
                </w:p>
              </w:tc>
              <w:tc>
                <w:tcPr>
                  <w:tcW w:w="1209" w:type="pct"/>
                  <w:vAlign w:val="center"/>
                </w:tcPr>
                <w:p w14:paraId="028986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c>
                <w:tcPr>
                  <w:tcW w:w="474" w:type="pct"/>
                  <w:vAlign w:val="center"/>
                </w:tcPr>
                <w:p w14:paraId="102ADE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2套</w:t>
                  </w:r>
                </w:p>
              </w:tc>
              <w:tc>
                <w:tcPr>
                  <w:tcW w:w="1853" w:type="pct"/>
                  <w:vAlign w:val="center"/>
                </w:tcPr>
                <w:p w14:paraId="15F3FB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w:t>
                  </w:r>
                </w:p>
              </w:tc>
            </w:tr>
            <w:tr w14:paraId="7DA81039">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shd w:val="clear" w:color="auto" w:fill="auto"/>
                  <w:vAlign w:val="center"/>
                </w:tcPr>
                <w:p w14:paraId="5F2D06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12</w:t>
                  </w:r>
                </w:p>
              </w:tc>
              <w:tc>
                <w:tcPr>
                  <w:tcW w:w="1094" w:type="pct"/>
                  <w:vAlign w:val="center"/>
                </w:tcPr>
                <w:p w14:paraId="5F5A33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钢板仓</w:t>
                  </w:r>
                </w:p>
              </w:tc>
              <w:tc>
                <w:tcPr>
                  <w:tcW w:w="1209" w:type="pct"/>
                  <w:vAlign w:val="center"/>
                </w:tcPr>
                <w:p w14:paraId="5E62A7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1000吨</w:t>
                  </w:r>
                </w:p>
              </w:tc>
              <w:tc>
                <w:tcPr>
                  <w:tcW w:w="474" w:type="pct"/>
                  <w:vAlign w:val="center"/>
                </w:tcPr>
                <w:p w14:paraId="699F4C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4个</w:t>
                  </w:r>
                </w:p>
              </w:tc>
              <w:tc>
                <w:tcPr>
                  <w:tcW w:w="1853" w:type="pct"/>
                  <w:vAlign w:val="center"/>
                </w:tcPr>
                <w:p w14:paraId="38D610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湿料仓</w:t>
                  </w:r>
                </w:p>
              </w:tc>
            </w:tr>
            <w:tr w14:paraId="40F669FC">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69" w:type="pct"/>
                  <w:vAlign w:val="center"/>
                </w:tcPr>
                <w:p w14:paraId="4894C8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w:t>
                  </w:r>
                </w:p>
              </w:tc>
              <w:tc>
                <w:tcPr>
                  <w:tcW w:w="1094" w:type="pct"/>
                  <w:vAlign w:val="center"/>
                </w:tcPr>
                <w:p w14:paraId="14C0DD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仓前提升机</w:t>
                  </w:r>
                </w:p>
              </w:tc>
              <w:tc>
                <w:tcPr>
                  <w:tcW w:w="1209" w:type="pct"/>
                  <w:vAlign w:val="center"/>
                </w:tcPr>
                <w:p w14:paraId="464887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TDTG80/56</w:t>
                  </w:r>
                </w:p>
              </w:tc>
              <w:tc>
                <w:tcPr>
                  <w:tcW w:w="474" w:type="pct"/>
                  <w:vAlign w:val="center"/>
                </w:tcPr>
                <w:p w14:paraId="3171AC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2个</w:t>
                  </w:r>
                </w:p>
              </w:tc>
              <w:tc>
                <w:tcPr>
                  <w:tcW w:w="1853" w:type="pct"/>
                  <w:vAlign w:val="center"/>
                </w:tcPr>
                <w:p w14:paraId="26020F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H=37m</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含井架2个</w:t>
                  </w:r>
                </w:p>
              </w:tc>
            </w:tr>
          </w:tbl>
          <w:p w14:paraId="5D27550E">
            <w:pPr>
              <w:spacing w:line="360" w:lineRule="auto"/>
              <w:rPr>
                <w:rFonts w:hint="default" w:ascii="Times New Roman" w:hAnsi="Times New Roman" w:cs="Times New Roman"/>
                <w:b/>
                <w:bCs/>
                <w:snapToGrid w:val="0"/>
                <w:color w:val="auto"/>
                <w:kern w:val="0"/>
                <w:sz w:val="24"/>
                <w:highlight w:val="none"/>
              </w:rPr>
            </w:pPr>
            <w:r>
              <w:rPr>
                <w:rFonts w:hint="default" w:ascii="Times New Roman" w:hAnsi="Times New Roman" w:cs="Times New Roman"/>
                <w:b/>
                <w:bCs/>
                <w:snapToGrid w:val="0"/>
                <w:color w:val="auto"/>
                <w:kern w:val="0"/>
                <w:sz w:val="24"/>
                <w:highlight w:val="none"/>
                <w:lang w:val="en-US" w:eastAsia="zh-CN"/>
              </w:rPr>
              <w:t>5、</w:t>
            </w:r>
            <w:r>
              <w:rPr>
                <w:rFonts w:hint="default" w:ascii="Times New Roman" w:hAnsi="Times New Roman" w:cs="Times New Roman"/>
                <w:b/>
                <w:bCs/>
                <w:snapToGrid w:val="0"/>
                <w:color w:val="auto"/>
                <w:kern w:val="0"/>
                <w:sz w:val="24"/>
                <w:highlight w:val="none"/>
              </w:rPr>
              <w:t>原辅材料消耗</w:t>
            </w:r>
          </w:p>
          <w:p w14:paraId="2DCB0E77">
            <w:pPr>
              <w:spacing w:line="360" w:lineRule="auto"/>
              <w:ind w:firstLine="480" w:firstLineChars="200"/>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本项目主要为玉米烘干，原材料为玉米籽粒，暂存于筒仓内。烘干塔热风炉燃料采用生物质颗粒，生物质颗粒采用覆膜</w:t>
            </w:r>
            <w:r>
              <w:rPr>
                <w:rFonts w:hint="default" w:ascii="Times New Roman" w:hAnsi="Times New Roman" w:cs="Times New Roman"/>
                <w:snapToGrid w:val="0"/>
                <w:color w:val="auto"/>
                <w:kern w:val="0"/>
                <w:sz w:val="24"/>
                <w:szCs w:val="24"/>
                <w:highlight w:val="none"/>
                <w:lang w:val="en-US" w:eastAsia="zh-CN" w:bidi="ar-SA"/>
              </w:rPr>
              <w:t>编织袋</w:t>
            </w:r>
            <w:r>
              <w:rPr>
                <w:rFonts w:hint="default" w:ascii="Times New Roman" w:hAnsi="Times New Roman" w:eastAsia="宋体" w:cs="Times New Roman"/>
                <w:snapToGrid w:val="0"/>
                <w:color w:val="auto"/>
                <w:kern w:val="0"/>
                <w:sz w:val="24"/>
                <w:szCs w:val="24"/>
                <w:highlight w:val="none"/>
                <w:lang w:val="en-US" w:eastAsia="zh-CN" w:bidi="ar-SA"/>
              </w:rPr>
              <w:t>包装，储存于</w:t>
            </w:r>
            <w:r>
              <w:rPr>
                <w:rFonts w:hint="default" w:ascii="Times New Roman" w:hAnsi="Times New Roman" w:cs="Times New Roman"/>
                <w:snapToGrid w:val="0"/>
                <w:color w:val="auto"/>
                <w:kern w:val="0"/>
                <w:sz w:val="24"/>
                <w:szCs w:val="24"/>
                <w:highlight w:val="none"/>
                <w:lang w:val="en-US" w:eastAsia="zh-CN" w:bidi="ar-SA"/>
              </w:rPr>
              <w:t>烘干车间</w:t>
            </w:r>
            <w:r>
              <w:rPr>
                <w:rFonts w:hint="default" w:ascii="Times New Roman" w:hAnsi="Times New Roman" w:eastAsia="宋体" w:cs="Times New Roman"/>
                <w:snapToGrid w:val="0"/>
                <w:color w:val="auto"/>
                <w:kern w:val="0"/>
                <w:sz w:val="24"/>
                <w:szCs w:val="24"/>
                <w:highlight w:val="none"/>
                <w:lang w:val="en-US" w:eastAsia="zh-CN" w:bidi="ar-SA"/>
              </w:rPr>
              <w:t>的燃料间内。项目主要原辅材料及能源消耗见表 2-</w:t>
            </w:r>
            <w:r>
              <w:rPr>
                <w:rFonts w:hint="default" w:ascii="Times New Roman" w:hAnsi="Times New Roman" w:cs="Times New Roman"/>
                <w:snapToGrid w:val="0"/>
                <w:color w:val="auto"/>
                <w:kern w:val="0"/>
                <w:sz w:val="24"/>
                <w:szCs w:val="24"/>
                <w:highlight w:val="none"/>
                <w:lang w:val="en-US" w:eastAsia="zh-CN" w:bidi="ar-SA"/>
              </w:rPr>
              <w:t>4</w:t>
            </w:r>
            <w:r>
              <w:rPr>
                <w:rFonts w:hint="default" w:ascii="Times New Roman" w:hAnsi="Times New Roman" w:eastAsia="宋体" w:cs="Times New Roman"/>
                <w:snapToGrid w:val="0"/>
                <w:color w:val="auto"/>
                <w:kern w:val="0"/>
                <w:sz w:val="24"/>
                <w:szCs w:val="24"/>
                <w:highlight w:val="none"/>
                <w:lang w:val="en-US" w:eastAsia="zh-CN" w:bidi="ar-SA"/>
              </w:rPr>
              <w:t>。</w:t>
            </w:r>
          </w:p>
          <w:p w14:paraId="446FF457">
            <w:pPr>
              <w:pStyle w:val="2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表2-</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 xml:space="preserve">    主要原、辅材料用量及能耗情况一览表</w:t>
            </w:r>
          </w:p>
          <w:tbl>
            <w:tblPr>
              <w:tblStyle w:val="19"/>
              <w:tblW w:w="4945"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72"/>
              <w:gridCol w:w="2433"/>
              <w:gridCol w:w="1266"/>
              <w:gridCol w:w="1349"/>
              <w:gridCol w:w="1941"/>
            </w:tblGrid>
            <w:tr w14:paraId="19631E6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noWrap w:val="0"/>
                  <w:vAlign w:val="center"/>
                </w:tcPr>
                <w:p w14:paraId="2FC282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序号</w:t>
                  </w:r>
                </w:p>
              </w:tc>
              <w:tc>
                <w:tcPr>
                  <w:tcW w:w="1567" w:type="pct"/>
                  <w:tcBorders>
                    <w:tl2br w:val="nil"/>
                    <w:tr2bl w:val="nil"/>
                  </w:tcBorders>
                  <w:noWrap w:val="0"/>
                  <w:vAlign w:val="center"/>
                </w:tcPr>
                <w:p w14:paraId="603C03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名称</w:t>
                  </w:r>
                </w:p>
              </w:tc>
              <w:tc>
                <w:tcPr>
                  <w:tcW w:w="815" w:type="pct"/>
                  <w:tcBorders>
                    <w:tl2br w:val="nil"/>
                    <w:tr2bl w:val="nil"/>
                  </w:tcBorders>
                  <w:noWrap w:val="0"/>
                  <w:vAlign w:val="center"/>
                </w:tcPr>
                <w:p w14:paraId="3FFB76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单位</w:t>
                  </w:r>
                </w:p>
              </w:tc>
              <w:tc>
                <w:tcPr>
                  <w:tcW w:w="869" w:type="pct"/>
                  <w:tcBorders>
                    <w:tl2br w:val="nil"/>
                    <w:tr2bl w:val="nil"/>
                  </w:tcBorders>
                  <w:noWrap w:val="0"/>
                  <w:vAlign w:val="center"/>
                </w:tcPr>
                <w:p w14:paraId="320883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szCs w:val="21"/>
                      <w:highlight w:val="none"/>
                      <w:lang w:val="en-US" w:eastAsia="zh-CN"/>
                    </w:rPr>
                    <w:t>年消耗量</w:t>
                  </w:r>
                </w:p>
              </w:tc>
              <w:tc>
                <w:tcPr>
                  <w:tcW w:w="1250" w:type="pct"/>
                  <w:tcBorders>
                    <w:tl2br w:val="nil"/>
                    <w:tr2bl w:val="nil"/>
                  </w:tcBorders>
                  <w:noWrap w:val="0"/>
                  <w:vAlign w:val="center"/>
                </w:tcPr>
                <w:p w14:paraId="4D8BD4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来源</w:t>
                  </w:r>
                </w:p>
              </w:tc>
            </w:tr>
            <w:tr w14:paraId="67F2021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noWrap w:val="0"/>
                  <w:vAlign w:val="center"/>
                </w:tcPr>
                <w:p w14:paraId="5A9A2F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szCs w:val="21"/>
                      <w:highlight w:val="none"/>
                      <w:lang w:val="en-US" w:eastAsia="zh-CN"/>
                    </w:rPr>
                    <w:t>1</w:t>
                  </w:r>
                </w:p>
              </w:tc>
              <w:tc>
                <w:tcPr>
                  <w:tcW w:w="1567" w:type="pct"/>
                  <w:tcBorders>
                    <w:tl2br w:val="nil"/>
                    <w:tr2bl w:val="nil"/>
                  </w:tcBorders>
                  <w:noWrap w:val="0"/>
                  <w:vAlign w:val="center"/>
                </w:tcPr>
                <w:p w14:paraId="2D583E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highlight w:val="none"/>
                    </w:rPr>
                    <w:t>玉米</w:t>
                  </w:r>
                  <w:bookmarkStart w:id="4" w:name="hmcheck_3163a3a57f464b7ab8d0471c58d74099"/>
                  <w:r>
                    <w:rPr>
                      <w:rFonts w:hint="default" w:ascii="Times New Roman" w:hAnsi="Times New Roman" w:cs="Times New Roman"/>
                      <w:b w:val="0"/>
                      <w:bCs w:val="0"/>
                      <w:color w:val="auto"/>
                      <w:highlight w:val="none"/>
                    </w:rPr>
                    <w:t>湿料</w:t>
                  </w:r>
                  <w:bookmarkEnd w:id="4"/>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含水率约为30%，杂质0.1%</w:t>
                  </w:r>
                  <w:r>
                    <w:rPr>
                      <w:rFonts w:hint="default" w:ascii="Times New Roman" w:hAnsi="Times New Roman" w:cs="Times New Roman"/>
                      <w:b w:val="0"/>
                      <w:bCs w:val="0"/>
                      <w:color w:val="auto"/>
                      <w:highlight w:val="none"/>
                      <w:lang w:eastAsia="zh-CN"/>
                    </w:rPr>
                    <w:t>）</w:t>
                  </w:r>
                </w:p>
              </w:tc>
              <w:tc>
                <w:tcPr>
                  <w:tcW w:w="815" w:type="pct"/>
                  <w:tcBorders>
                    <w:tl2br w:val="nil"/>
                    <w:tr2bl w:val="nil"/>
                  </w:tcBorders>
                  <w:noWrap w:val="0"/>
                  <w:vAlign w:val="center"/>
                </w:tcPr>
                <w:p w14:paraId="3BAB12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t/a</w:t>
                  </w:r>
                </w:p>
              </w:tc>
              <w:tc>
                <w:tcPr>
                  <w:tcW w:w="869" w:type="pct"/>
                  <w:tcBorders>
                    <w:tl2br w:val="nil"/>
                    <w:tr2bl w:val="nil"/>
                  </w:tcBorders>
                  <w:noWrap w:val="0"/>
                  <w:vAlign w:val="center"/>
                </w:tcPr>
                <w:p w14:paraId="19AFDF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120000</w:t>
                  </w:r>
                </w:p>
              </w:tc>
              <w:tc>
                <w:tcPr>
                  <w:tcW w:w="1250" w:type="pct"/>
                  <w:tcBorders>
                    <w:tl2br w:val="nil"/>
                    <w:tr2bl w:val="nil"/>
                  </w:tcBorders>
                  <w:noWrap w:val="0"/>
                  <w:vAlign w:val="center"/>
                </w:tcPr>
                <w:p w14:paraId="4DE4ED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highlight w:val="none"/>
                    </w:rPr>
                    <w:t>市场采购</w:t>
                  </w:r>
                </w:p>
              </w:tc>
            </w:tr>
            <w:tr w14:paraId="6ABDBFE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noWrap w:val="0"/>
                  <w:vAlign w:val="center"/>
                </w:tcPr>
                <w:p w14:paraId="3F4CEB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szCs w:val="21"/>
                      <w:highlight w:val="none"/>
                      <w:lang w:val="en-US" w:eastAsia="zh-CN"/>
                    </w:rPr>
                    <w:t>2</w:t>
                  </w:r>
                </w:p>
              </w:tc>
              <w:tc>
                <w:tcPr>
                  <w:tcW w:w="1567" w:type="pct"/>
                  <w:tcBorders>
                    <w:tl2br w:val="nil"/>
                    <w:tr2bl w:val="nil"/>
                  </w:tcBorders>
                  <w:noWrap w:val="0"/>
                  <w:vAlign w:val="center"/>
                </w:tcPr>
                <w:p w14:paraId="1CA11D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highlight w:val="none"/>
                      <w:lang w:val="en-US" w:eastAsia="zh-CN"/>
                    </w:rPr>
                    <w:t>生物质颗粒</w:t>
                  </w:r>
                </w:p>
              </w:tc>
              <w:tc>
                <w:tcPr>
                  <w:tcW w:w="815" w:type="pct"/>
                  <w:tcBorders>
                    <w:tl2br w:val="nil"/>
                    <w:tr2bl w:val="nil"/>
                  </w:tcBorders>
                  <w:noWrap w:val="0"/>
                  <w:vAlign w:val="center"/>
                </w:tcPr>
                <w:p w14:paraId="675B8C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t/a</w:t>
                  </w:r>
                </w:p>
              </w:tc>
              <w:tc>
                <w:tcPr>
                  <w:tcW w:w="869" w:type="pct"/>
                  <w:tcBorders>
                    <w:tl2br w:val="nil"/>
                    <w:tr2bl w:val="nil"/>
                  </w:tcBorders>
                  <w:noWrap w:val="0"/>
                  <w:vAlign w:val="center"/>
                </w:tcPr>
                <w:p w14:paraId="169E9A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4</w:t>
                  </w:r>
                  <w:r>
                    <w:rPr>
                      <w:rFonts w:hint="default" w:ascii="Times New Roman" w:hAnsi="Times New Roman" w:cs="Times New Roman"/>
                      <w:b w:val="0"/>
                      <w:bCs w:val="0"/>
                      <w:color w:val="auto"/>
                      <w:szCs w:val="21"/>
                      <w:highlight w:val="none"/>
                      <w:lang w:val="en-US" w:eastAsia="zh-CN"/>
                    </w:rPr>
                    <w:t>000</w:t>
                  </w:r>
                </w:p>
              </w:tc>
              <w:tc>
                <w:tcPr>
                  <w:tcW w:w="1250" w:type="pct"/>
                  <w:tcBorders>
                    <w:tl2br w:val="nil"/>
                    <w:tr2bl w:val="nil"/>
                  </w:tcBorders>
                  <w:noWrap w:val="0"/>
                  <w:vAlign w:val="center"/>
                </w:tcPr>
                <w:p w14:paraId="3A845E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highlight w:val="none"/>
                    </w:rPr>
                    <w:t>市场采购</w:t>
                  </w:r>
                </w:p>
              </w:tc>
            </w:tr>
            <w:tr w14:paraId="2C9931D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shd w:val="clear" w:color="auto" w:fill="auto"/>
                  <w:noWrap w:val="0"/>
                  <w:vAlign w:val="center"/>
                </w:tcPr>
                <w:p w14:paraId="3970AD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Cs w:val="21"/>
                      <w:highlight w:val="none"/>
                      <w:lang w:val="en-US" w:eastAsia="zh-CN"/>
                    </w:rPr>
                    <w:t>3</w:t>
                  </w:r>
                </w:p>
              </w:tc>
              <w:tc>
                <w:tcPr>
                  <w:tcW w:w="1567" w:type="pct"/>
                  <w:tcBorders>
                    <w:tl2br w:val="nil"/>
                    <w:tr2bl w:val="nil"/>
                  </w:tcBorders>
                  <w:noWrap w:val="0"/>
                  <w:vAlign w:val="center"/>
                </w:tcPr>
                <w:p w14:paraId="567C92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生石灰</w:t>
                  </w:r>
                </w:p>
              </w:tc>
              <w:tc>
                <w:tcPr>
                  <w:tcW w:w="815" w:type="pct"/>
                  <w:tcBorders>
                    <w:tl2br w:val="nil"/>
                    <w:tr2bl w:val="nil"/>
                  </w:tcBorders>
                  <w:noWrap w:val="0"/>
                  <w:vAlign w:val="center"/>
                </w:tcPr>
                <w:p w14:paraId="2BACA6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t/a</w:t>
                  </w:r>
                </w:p>
              </w:tc>
              <w:tc>
                <w:tcPr>
                  <w:tcW w:w="869" w:type="pct"/>
                  <w:tcBorders>
                    <w:tl2br w:val="nil"/>
                    <w:tr2bl w:val="nil"/>
                  </w:tcBorders>
                  <w:noWrap w:val="0"/>
                  <w:vAlign w:val="center"/>
                </w:tcPr>
                <w:p w14:paraId="3B6F63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30</w:t>
                  </w:r>
                </w:p>
              </w:tc>
              <w:tc>
                <w:tcPr>
                  <w:tcW w:w="1250" w:type="pct"/>
                  <w:tcBorders>
                    <w:tl2br w:val="nil"/>
                    <w:tr2bl w:val="nil"/>
                  </w:tcBorders>
                  <w:noWrap w:val="0"/>
                  <w:vAlign w:val="center"/>
                </w:tcPr>
                <w:p w14:paraId="0DB68E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cs="Times New Roman"/>
                      <w:b w:val="0"/>
                      <w:bCs w:val="0"/>
                      <w:color w:val="auto"/>
                      <w:highlight w:val="none"/>
                    </w:rPr>
                    <w:t>市场采购</w:t>
                  </w:r>
                </w:p>
              </w:tc>
            </w:tr>
            <w:tr w14:paraId="7B6DC5D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shd w:val="clear" w:color="auto" w:fill="auto"/>
                  <w:noWrap w:val="0"/>
                  <w:vAlign w:val="center"/>
                </w:tcPr>
                <w:p w14:paraId="2927ED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Cs w:val="21"/>
                      <w:highlight w:val="none"/>
                      <w:lang w:val="en-US" w:eastAsia="zh-CN"/>
                    </w:rPr>
                    <w:t>4</w:t>
                  </w:r>
                </w:p>
              </w:tc>
              <w:tc>
                <w:tcPr>
                  <w:tcW w:w="1567" w:type="pct"/>
                  <w:tcBorders>
                    <w:tl2br w:val="nil"/>
                    <w:tr2bl w:val="nil"/>
                  </w:tcBorders>
                  <w:noWrap w:val="0"/>
                  <w:vAlign w:val="center"/>
                </w:tcPr>
                <w:p w14:paraId="7E7C38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氢氧化钠</w:t>
                  </w:r>
                </w:p>
              </w:tc>
              <w:tc>
                <w:tcPr>
                  <w:tcW w:w="815" w:type="pct"/>
                  <w:tcBorders>
                    <w:tl2br w:val="nil"/>
                    <w:tr2bl w:val="nil"/>
                  </w:tcBorders>
                  <w:noWrap w:val="0"/>
                  <w:vAlign w:val="center"/>
                </w:tcPr>
                <w:p w14:paraId="003569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t/a</w:t>
                  </w:r>
                </w:p>
              </w:tc>
              <w:tc>
                <w:tcPr>
                  <w:tcW w:w="869" w:type="pct"/>
                  <w:tcBorders>
                    <w:tl2br w:val="nil"/>
                    <w:tr2bl w:val="nil"/>
                  </w:tcBorders>
                  <w:noWrap w:val="0"/>
                  <w:vAlign w:val="center"/>
                </w:tcPr>
                <w:p w14:paraId="6AEE5A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eastAsia="宋体" w:cs="Times New Roman"/>
                      <w:b w:val="0"/>
                      <w:bCs w:val="0"/>
                      <w:color w:val="auto"/>
                      <w:spacing w:val="4"/>
                      <w:szCs w:val="21"/>
                      <w:highlight w:val="none"/>
                      <w:lang w:val="en-US" w:eastAsia="zh-CN"/>
                    </w:rPr>
                    <w:t>35</w:t>
                  </w:r>
                </w:p>
              </w:tc>
              <w:tc>
                <w:tcPr>
                  <w:tcW w:w="1250" w:type="pct"/>
                  <w:tcBorders>
                    <w:tl2br w:val="nil"/>
                    <w:tr2bl w:val="nil"/>
                  </w:tcBorders>
                  <w:noWrap w:val="0"/>
                  <w:vAlign w:val="center"/>
                </w:tcPr>
                <w:p w14:paraId="6C1EEA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4"/>
                      <w:szCs w:val="21"/>
                      <w:highlight w:val="none"/>
                      <w:lang w:val="en-US" w:eastAsia="zh-CN"/>
                    </w:rPr>
                  </w:pPr>
                  <w:r>
                    <w:rPr>
                      <w:rFonts w:hint="default" w:ascii="Times New Roman" w:hAnsi="Times New Roman" w:cs="Times New Roman"/>
                      <w:b w:val="0"/>
                      <w:bCs w:val="0"/>
                      <w:color w:val="auto"/>
                      <w:highlight w:val="none"/>
                    </w:rPr>
                    <w:t>市场采购</w:t>
                  </w:r>
                </w:p>
              </w:tc>
            </w:tr>
            <w:tr w14:paraId="6C648B7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noWrap w:val="0"/>
                  <w:vAlign w:val="center"/>
                </w:tcPr>
                <w:p w14:paraId="09C6FD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5</w:t>
                  </w:r>
                </w:p>
              </w:tc>
              <w:tc>
                <w:tcPr>
                  <w:tcW w:w="1567" w:type="pct"/>
                  <w:tcBorders>
                    <w:tl2br w:val="nil"/>
                    <w:tr2bl w:val="nil"/>
                  </w:tcBorders>
                  <w:noWrap w:val="0"/>
                  <w:vAlign w:val="center"/>
                </w:tcPr>
                <w:p w14:paraId="46747F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eastAsia="zh-CN"/>
                    </w:rPr>
                  </w:pPr>
                  <w:r>
                    <w:rPr>
                      <w:rFonts w:hint="default" w:ascii="Times New Roman" w:hAnsi="Times New Roman" w:cs="Times New Roman"/>
                      <w:b w:val="0"/>
                      <w:bCs w:val="0"/>
                      <w:color w:val="auto"/>
                      <w:highlight w:val="none"/>
                    </w:rPr>
                    <w:t>水</w:t>
                  </w:r>
                </w:p>
              </w:tc>
              <w:tc>
                <w:tcPr>
                  <w:tcW w:w="815" w:type="pct"/>
                  <w:tcBorders>
                    <w:tl2br w:val="nil"/>
                    <w:tr2bl w:val="nil"/>
                  </w:tcBorders>
                  <w:noWrap w:val="0"/>
                  <w:vAlign w:val="center"/>
                </w:tcPr>
                <w:p w14:paraId="1B4A2D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m³/a</w:t>
                  </w:r>
                </w:p>
              </w:tc>
              <w:tc>
                <w:tcPr>
                  <w:tcW w:w="869" w:type="pct"/>
                  <w:tcBorders>
                    <w:tl2br w:val="nil"/>
                    <w:tr2bl w:val="nil"/>
                  </w:tcBorders>
                  <w:noWrap w:val="0"/>
                  <w:vAlign w:val="center"/>
                </w:tcPr>
                <w:p w14:paraId="2DB0BB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22.5</w:t>
                  </w:r>
                </w:p>
              </w:tc>
              <w:tc>
                <w:tcPr>
                  <w:tcW w:w="1250" w:type="pct"/>
                  <w:tcBorders>
                    <w:tl2br w:val="nil"/>
                    <w:tr2bl w:val="nil"/>
                  </w:tcBorders>
                  <w:noWrap w:val="0"/>
                  <w:vAlign w:val="center"/>
                </w:tcPr>
                <w:p w14:paraId="3E3BF8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129团拉运</w:t>
                  </w:r>
                </w:p>
              </w:tc>
            </w:tr>
            <w:tr w14:paraId="07CFF39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97" w:type="pct"/>
                  <w:tcBorders>
                    <w:tl2br w:val="nil"/>
                    <w:tr2bl w:val="nil"/>
                  </w:tcBorders>
                  <w:noWrap w:val="0"/>
                  <w:vAlign w:val="center"/>
                </w:tcPr>
                <w:p w14:paraId="67873C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6</w:t>
                  </w:r>
                </w:p>
              </w:tc>
              <w:tc>
                <w:tcPr>
                  <w:tcW w:w="1567" w:type="pct"/>
                  <w:tcBorders>
                    <w:tl2br w:val="nil"/>
                    <w:tr2bl w:val="nil"/>
                  </w:tcBorders>
                  <w:noWrap w:val="0"/>
                  <w:vAlign w:val="center"/>
                </w:tcPr>
                <w:p w14:paraId="26F802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电</w:t>
                  </w:r>
                </w:p>
              </w:tc>
              <w:tc>
                <w:tcPr>
                  <w:tcW w:w="815" w:type="pct"/>
                  <w:tcBorders>
                    <w:tl2br w:val="nil"/>
                    <w:tr2bl w:val="nil"/>
                  </w:tcBorders>
                  <w:noWrap w:val="0"/>
                  <w:vAlign w:val="center"/>
                </w:tcPr>
                <w:p w14:paraId="17BCFC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pacing w:val="4"/>
                      <w:szCs w:val="21"/>
                      <w:highlight w:val="none"/>
                    </w:rPr>
                    <w:t>万</w:t>
                  </w:r>
                  <w:r>
                    <w:rPr>
                      <w:rFonts w:hint="default" w:ascii="Times New Roman" w:hAnsi="Times New Roman" w:cs="Times New Roman"/>
                      <w:b w:val="0"/>
                      <w:bCs w:val="0"/>
                      <w:color w:val="auto"/>
                      <w:szCs w:val="21"/>
                      <w:highlight w:val="none"/>
                    </w:rPr>
                    <w:t>kW·h/a</w:t>
                  </w:r>
                </w:p>
              </w:tc>
              <w:tc>
                <w:tcPr>
                  <w:tcW w:w="869" w:type="pct"/>
                  <w:tcBorders>
                    <w:tl2br w:val="nil"/>
                    <w:tr2bl w:val="nil"/>
                  </w:tcBorders>
                  <w:noWrap w:val="0"/>
                  <w:vAlign w:val="center"/>
                </w:tcPr>
                <w:p w14:paraId="10FEBE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100</w:t>
                  </w:r>
                </w:p>
              </w:tc>
              <w:tc>
                <w:tcPr>
                  <w:tcW w:w="1250" w:type="pct"/>
                  <w:tcBorders>
                    <w:tl2br w:val="nil"/>
                    <w:tr2bl w:val="nil"/>
                  </w:tcBorders>
                  <w:noWrap w:val="0"/>
                  <w:vAlign w:val="center"/>
                </w:tcPr>
                <w:p w14:paraId="37A5DD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国家电网</w:t>
                  </w:r>
                </w:p>
              </w:tc>
            </w:tr>
          </w:tbl>
          <w:p w14:paraId="506F8375">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cs="Times New Roman"/>
                <w:b/>
                <w:bCs/>
                <w:snapToGrid w:val="0"/>
                <w:color w:val="auto"/>
                <w:kern w:val="0"/>
                <w:sz w:val="24"/>
                <w:highlight w:val="none"/>
                <w:lang w:val="en-US" w:eastAsia="zh-CN"/>
              </w:rPr>
              <w:t>原辅材料理化性质：</w:t>
            </w:r>
          </w:p>
          <w:p w14:paraId="1E1FF7E8">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生物质成型燃料</w:t>
            </w:r>
          </w:p>
          <w:p w14:paraId="3F53AE6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根据建设单位提供资料，</w:t>
            </w:r>
            <w:r>
              <w:rPr>
                <w:rFonts w:hint="default" w:ascii="Times New Roman" w:hAnsi="Times New Roman" w:eastAsia="宋体" w:cs="Times New Roman"/>
                <w:color w:val="auto"/>
                <w:sz w:val="24"/>
                <w:szCs w:val="24"/>
                <w:highlight w:val="none"/>
                <w:lang w:val="en-US" w:eastAsia="zh-CN"/>
              </w:rPr>
              <w:t>项目用德宝惠众生物科技有限公司生产的生物质成型燃料，生物质燃料组分</w:t>
            </w:r>
            <w:r>
              <w:rPr>
                <w:rFonts w:hint="default" w:ascii="Times New Roman" w:hAnsi="Times New Roman" w:eastAsia="宋体" w:cs="Times New Roman"/>
                <w:color w:val="auto"/>
                <w:sz w:val="24"/>
                <w:szCs w:val="24"/>
                <w:highlight w:val="none"/>
                <w:lang w:val="zh-CN" w:eastAsia="zh-CN"/>
              </w:rPr>
              <w:t>见下表</w:t>
            </w:r>
            <w:r>
              <w:rPr>
                <w:rFonts w:hint="default" w:ascii="Times New Roman" w:hAnsi="Times New Roman" w:eastAsia="宋体" w:cs="Times New Roman"/>
                <w:color w:val="auto"/>
                <w:sz w:val="24"/>
                <w:szCs w:val="24"/>
                <w:highlight w:val="none"/>
                <w:lang w:val="en-US" w:eastAsia="zh-CN"/>
              </w:rPr>
              <w:t>2-5，燃料检验报告详见附件</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p>
          <w:p w14:paraId="4048BB0B">
            <w:pPr>
              <w:pStyle w:val="27"/>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表2-5   燃料分析表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619"/>
              <w:gridCol w:w="1100"/>
              <w:gridCol w:w="2235"/>
            </w:tblGrid>
            <w:tr w14:paraId="6CFF0D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bottom w:val="single" w:color="auto" w:sz="12" w:space="0"/>
                  </w:tcBorders>
                  <w:vAlign w:val="center"/>
                </w:tcPr>
                <w:p w14:paraId="0ED617A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序号</w:t>
                  </w:r>
                </w:p>
              </w:tc>
              <w:tc>
                <w:tcPr>
                  <w:tcW w:w="2306" w:type="pct"/>
                  <w:tcBorders>
                    <w:bottom w:val="single" w:color="auto" w:sz="12" w:space="0"/>
                  </w:tcBorders>
                  <w:vAlign w:val="center"/>
                </w:tcPr>
                <w:p w14:paraId="3D6CA4A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检验检测项目</w:t>
                  </w:r>
                </w:p>
              </w:tc>
              <w:tc>
                <w:tcPr>
                  <w:tcW w:w="701" w:type="pct"/>
                  <w:tcBorders>
                    <w:bottom w:val="single" w:color="auto" w:sz="12" w:space="0"/>
                  </w:tcBorders>
                  <w:vAlign w:val="center"/>
                </w:tcPr>
                <w:p w14:paraId="2C096D6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单位</w:t>
                  </w:r>
                </w:p>
              </w:tc>
              <w:tc>
                <w:tcPr>
                  <w:tcW w:w="1424" w:type="pct"/>
                  <w:tcBorders>
                    <w:bottom w:val="single" w:color="auto" w:sz="12" w:space="0"/>
                  </w:tcBorders>
                  <w:vAlign w:val="center"/>
                </w:tcPr>
                <w:p w14:paraId="49D98EA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检验结果</w:t>
                  </w:r>
                </w:p>
              </w:tc>
            </w:tr>
            <w:tr w14:paraId="2EE31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op w:val="single" w:color="auto" w:sz="12" w:space="0"/>
                    <w:tl2br w:val="nil"/>
                    <w:tr2bl w:val="nil"/>
                  </w:tcBorders>
                  <w:vAlign w:val="center"/>
                </w:tcPr>
                <w:p w14:paraId="099B683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1</w:t>
                  </w:r>
                </w:p>
              </w:tc>
              <w:tc>
                <w:tcPr>
                  <w:tcW w:w="2306" w:type="pct"/>
                  <w:tcBorders>
                    <w:top w:val="single" w:color="auto" w:sz="12" w:space="0"/>
                    <w:tl2br w:val="nil"/>
                    <w:tr2bl w:val="nil"/>
                  </w:tcBorders>
                  <w:vAlign w:val="center"/>
                </w:tcPr>
                <w:p w14:paraId="34DA84B8">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收到基全硫</w:t>
                  </w:r>
                </w:p>
              </w:tc>
              <w:tc>
                <w:tcPr>
                  <w:tcW w:w="701" w:type="pct"/>
                  <w:tcBorders>
                    <w:top w:val="single" w:color="auto" w:sz="12" w:space="0"/>
                    <w:tl2br w:val="nil"/>
                    <w:tr2bl w:val="nil"/>
                  </w:tcBorders>
                  <w:vAlign w:val="center"/>
                </w:tcPr>
                <w:p w14:paraId="32A5E67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op w:val="single" w:color="auto" w:sz="12" w:space="0"/>
                    <w:tl2br w:val="nil"/>
                    <w:tr2bl w:val="nil"/>
                  </w:tcBorders>
                  <w:vAlign w:val="center"/>
                </w:tcPr>
                <w:p w14:paraId="3238FE7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0.12</w:t>
                  </w:r>
                </w:p>
              </w:tc>
            </w:tr>
            <w:tr w14:paraId="070F2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492EB528">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2306" w:type="pct"/>
                  <w:tcBorders>
                    <w:tl2br w:val="nil"/>
                    <w:tr2bl w:val="nil"/>
                  </w:tcBorders>
                  <w:vAlign w:val="center"/>
                </w:tcPr>
                <w:p w14:paraId="47224CA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干基全硫</w:t>
                  </w:r>
                </w:p>
              </w:tc>
              <w:tc>
                <w:tcPr>
                  <w:tcW w:w="701" w:type="pct"/>
                  <w:tcBorders>
                    <w:tl2br w:val="nil"/>
                    <w:tr2bl w:val="nil"/>
                  </w:tcBorders>
                  <w:vAlign w:val="center"/>
                </w:tcPr>
                <w:p w14:paraId="1D5DB8F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6F70104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0.13</w:t>
                  </w:r>
                </w:p>
              </w:tc>
            </w:tr>
            <w:tr w14:paraId="3EC4A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088B001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3</w:t>
                  </w:r>
                </w:p>
              </w:tc>
              <w:tc>
                <w:tcPr>
                  <w:tcW w:w="2306" w:type="pct"/>
                  <w:tcBorders>
                    <w:tl2br w:val="nil"/>
                    <w:tr2bl w:val="nil"/>
                  </w:tcBorders>
                  <w:vAlign w:val="center"/>
                </w:tcPr>
                <w:p w14:paraId="53AE486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bookmarkStart w:id="5" w:name="hmcheck_44e1e95f657c4f6c89ca402ae2822aa3"/>
                  <w:r>
                    <w:rPr>
                      <w:rFonts w:hint="default" w:ascii="Times New Roman" w:hAnsi="Times New Roman" w:cs="Times New Roman"/>
                      <w:b w:val="0"/>
                      <w:bCs w:val="0"/>
                      <w:color w:val="auto"/>
                      <w:sz w:val="21"/>
                      <w:szCs w:val="21"/>
                      <w:highlight w:val="none"/>
                      <w:lang w:val="en-US" w:eastAsia="zh-CN"/>
                    </w:rPr>
                    <w:t>空</w:t>
                  </w:r>
                  <w:bookmarkEnd w:id="5"/>
                  <w:r>
                    <w:rPr>
                      <w:rFonts w:hint="default" w:ascii="Times New Roman" w:hAnsi="Times New Roman" w:cs="Times New Roman"/>
                      <w:b w:val="0"/>
                      <w:bCs w:val="0"/>
                      <w:color w:val="auto"/>
                      <w:sz w:val="21"/>
                      <w:szCs w:val="21"/>
                      <w:highlight w:val="none"/>
                      <w:lang w:val="en-US" w:eastAsia="zh-CN"/>
                    </w:rPr>
                    <w:t>干基灰分</w:t>
                  </w:r>
                </w:p>
              </w:tc>
              <w:tc>
                <w:tcPr>
                  <w:tcW w:w="701" w:type="pct"/>
                  <w:tcBorders>
                    <w:tl2br w:val="nil"/>
                    <w:tr2bl w:val="nil"/>
                  </w:tcBorders>
                  <w:vAlign w:val="center"/>
                </w:tcPr>
                <w:p w14:paraId="7CFED748">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2445B1C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4.03</w:t>
                  </w:r>
                </w:p>
              </w:tc>
            </w:tr>
            <w:tr w14:paraId="5C2DB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440C726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w:t>
                  </w:r>
                </w:p>
              </w:tc>
              <w:tc>
                <w:tcPr>
                  <w:tcW w:w="2306" w:type="pct"/>
                  <w:tcBorders>
                    <w:tl2br w:val="nil"/>
                    <w:tr2bl w:val="nil"/>
                  </w:tcBorders>
                  <w:vAlign w:val="center"/>
                </w:tcPr>
                <w:p w14:paraId="02AB1A1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干基灰分</w:t>
                  </w:r>
                </w:p>
              </w:tc>
              <w:tc>
                <w:tcPr>
                  <w:tcW w:w="701" w:type="pct"/>
                  <w:tcBorders>
                    <w:tl2br w:val="nil"/>
                    <w:tr2bl w:val="nil"/>
                  </w:tcBorders>
                  <w:vAlign w:val="center"/>
                </w:tcPr>
                <w:p w14:paraId="16FC340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47D88BC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4.28</w:t>
                  </w:r>
                </w:p>
              </w:tc>
            </w:tr>
            <w:tr w14:paraId="090AC8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7B55A07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w:t>
                  </w:r>
                </w:p>
              </w:tc>
              <w:tc>
                <w:tcPr>
                  <w:tcW w:w="2306" w:type="pct"/>
                  <w:tcBorders>
                    <w:tl2br w:val="nil"/>
                    <w:tr2bl w:val="nil"/>
                  </w:tcBorders>
                  <w:vAlign w:val="center"/>
                </w:tcPr>
                <w:p w14:paraId="4111314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bookmarkStart w:id="6" w:name="hmcheck_204e12591491406287119a12fb6c495c"/>
                  <w:r>
                    <w:rPr>
                      <w:rFonts w:hint="default" w:ascii="Times New Roman" w:hAnsi="Times New Roman" w:cs="Times New Roman"/>
                      <w:b w:val="0"/>
                      <w:bCs w:val="0"/>
                      <w:color w:val="auto"/>
                      <w:sz w:val="21"/>
                      <w:szCs w:val="21"/>
                      <w:highlight w:val="none"/>
                      <w:lang w:val="en-US" w:eastAsia="zh-CN"/>
                    </w:rPr>
                    <w:t>空</w:t>
                  </w:r>
                  <w:bookmarkEnd w:id="6"/>
                  <w:r>
                    <w:rPr>
                      <w:rFonts w:hint="default" w:ascii="Times New Roman" w:hAnsi="Times New Roman" w:cs="Times New Roman"/>
                      <w:b w:val="0"/>
                      <w:bCs w:val="0"/>
                      <w:color w:val="auto"/>
                      <w:sz w:val="21"/>
                      <w:szCs w:val="21"/>
                      <w:highlight w:val="none"/>
                      <w:lang w:val="en-US" w:eastAsia="zh-CN"/>
                    </w:rPr>
                    <w:t>干基挥发分</w:t>
                  </w:r>
                </w:p>
              </w:tc>
              <w:tc>
                <w:tcPr>
                  <w:tcW w:w="701" w:type="pct"/>
                  <w:tcBorders>
                    <w:tl2br w:val="nil"/>
                    <w:tr2bl w:val="nil"/>
                  </w:tcBorders>
                  <w:vAlign w:val="center"/>
                </w:tcPr>
                <w:p w14:paraId="773C598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007BFBF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70.99</w:t>
                  </w:r>
                </w:p>
              </w:tc>
            </w:tr>
            <w:tr w14:paraId="6E29E8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65EA823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w:t>
                  </w:r>
                </w:p>
              </w:tc>
              <w:tc>
                <w:tcPr>
                  <w:tcW w:w="2306" w:type="pct"/>
                  <w:tcBorders>
                    <w:tl2br w:val="nil"/>
                    <w:tr2bl w:val="nil"/>
                  </w:tcBorders>
                  <w:vAlign w:val="center"/>
                </w:tcPr>
                <w:p w14:paraId="59A2A7A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干燥无灰基挥发分</w:t>
                  </w:r>
                </w:p>
              </w:tc>
              <w:tc>
                <w:tcPr>
                  <w:tcW w:w="701" w:type="pct"/>
                  <w:tcBorders>
                    <w:tl2br w:val="nil"/>
                    <w:tr2bl w:val="nil"/>
                  </w:tcBorders>
                  <w:vAlign w:val="center"/>
                </w:tcPr>
                <w:p w14:paraId="2EEEB5B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51C9072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78.66</w:t>
                  </w:r>
                </w:p>
              </w:tc>
            </w:tr>
            <w:tr w14:paraId="22FCF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7BE6D51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w:t>
                  </w:r>
                </w:p>
              </w:tc>
              <w:tc>
                <w:tcPr>
                  <w:tcW w:w="2306" w:type="pct"/>
                  <w:tcBorders>
                    <w:tl2br w:val="nil"/>
                    <w:tr2bl w:val="nil"/>
                  </w:tcBorders>
                  <w:vAlign w:val="center"/>
                </w:tcPr>
                <w:p w14:paraId="2B993A1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bookmarkStart w:id="7" w:name="hmcheck_d6642cc6159043b5947d39d84628fa69"/>
                  <w:r>
                    <w:rPr>
                      <w:rFonts w:hint="default" w:ascii="Times New Roman" w:hAnsi="Times New Roman" w:cs="Times New Roman"/>
                      <w:b w:val="0"/>
                      <w:bCs w:val="0"/>
                      <w:color w:val="auto"/>
                      <w:sz w:val="21"/>
                      <w:szCs w:val="21"/>
                      <w:highlight w:val="none"/>
                      <w:lang w:val="en-US" w:eastAsia="zh-CN"/>
                    </w:rPr>
                    <w:t>空</w:t>
                  </w:r>
                  <w:bookmarkEnd w:id="7"/>
                  <w:r>
                    <w:rPr>
                      <w:rFonts w:hint="default" w:ascii="Times New Roman" w:hAnsi="Times New Roman" w:cs="Times New Roman"/>
                      <w:b w:val="0"/>
                      <w:bCs w:val="0"/>
                      <w:color w:val="auto"/>
                      <w:sz w:val="21"/>
                      <w:szCs w:val="21"/>
                      <w:highlight w:val="none"/>
                      <w:lang w:val="en-US" w:eastAsia="zh-CN"/>
                    </w:rPr>
                    <w:t>干基固定碳</w:t>
                  </w:r>
                </w:p>
              </w:tc>
              <w:tc>
                <w:tcPr>
                  <w:tcW w:w="701" w:type="pct"/>
                  <w:tcBorders>
                    <w:tl2br w:val="nil"/>
                    <w:tr2bl w:val="nil"/>
                  </w:tcBorders>
                  <w:vAlign w:val="center"/>
                </w:tcPr>
                <w:p w14:paraId="56D4F18A">
                  <w:pPr>
                    <w:pStyle w:val="3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5AD0C9B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19.25</w:t>
                  </w:r>
                </w:p>
              </w:tc>
            </w:tr>
            <w:tr w14:paraId="090045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0FEF3C1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8</w:t>
                  </w:r>
                </w:p>
              </w:tc>
              <w:tc>
                <w:tcPr>
                  <w:tcW w:w="2306" w:type="pct"/>
                  <w:tcBorders>
                    <w:tl2br w:val="nil"/>
                    <w:tr2bl w:val="nil"/>
                  </w:tcBorders>
                  <w:vAlign w:val="center"/>
                </w:tcPr>
                <w:p w14:paraId="4E471E3E">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干基固定碳</w:t>
                  </w:r>
                </w:p>
              </w:tc>
              <w:tc>
                <w:tcPr>
                  <w:tcW w:w="701" w:type="pct"/>
                  <w:tcBorders>
                    <w:tl2br w:val="nil"/>
                    <w:tr2bl w:val="nil"/>
                  </w:tcBorders>
                  <w:vAlign w:val="center"/>
                </w:tcPr>
                <w:p w14:paraId="3D206814">
                  <w:pPr>
                    <w:pStyle w:val="3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38A2036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20.42</w:t>
                  </w:r>
                </w:p>
              </w:tc>
            </w:tr>
            <w:tr w14:paraId="75E4EA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6C880BA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9</w:t>
                  </w:r>
                </w:p>
              </w:tc>
              <w:tc>
                <w:tcPr>
                  <w:tcW w:w="2306" w:type="pct"/>
                  <w:tcBorders>
                    <w:tl2br w:val="nil"/>
                    <w:tr2bl w:val="nil"/>
                  </w:tcBorders>
                  <w:vAlign w:val="center"/>
                </w:tcPr>
                <w:p w14:paraId="417770D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全水</w:t>
                  </w:r>
                </w:p>
              </w:tc>
              <w:tc>
                <w:tcPr>
                  <w:tcW w:w="701" w:type="pct"/>
                  <w:tcBorders>
                    <w:tl2br w:val="nil"/>
                    <w:tr2bl w:val="nil"/>
                  </w:tcBorders>
                  <w:vAlign w:val="center"/>
                </w:tcPr>
                <w:p w14:paraId="025851F4">
                  <w:pPr>
                    <w:pStyle w:val="3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65675A3C">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7.02</w:t>
                  </w:r>
                </w:p>
              </w:tc>
            </w:tr>
            <w:tr w14:paraId="0D947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258D5F3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10</w:t>
                  </w:r>
                </w:p>
              </w:tc>
              <w:tc>
                <w:tcPr>
                  <w:tcW w:w="2306" w:type="pct"/>
                  <w:tcBorders>
                    <w:tl2br w:val="nil"/>
                    <w:tr2bl w:val="nil"/>
                  </w:tcBorders>
                  <w:vAlign w:val="center"/>
                </w:tcPr>
                <w:p w14:paraId="5EB260C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空气干燥基水分</w:t>
                  </w:r>
                </w:p>
              </w:tc>
              <w:tc>
                <w:tcPr>
                  <w:tcW w:w="701" w:type="pct"/>
                  <w:tcBorders>
                    <w:tl2br w:val="nil"/>
                    <w:tr2bl w:val="nil"/>
                  </w:tcBorders>
                  <w:vAlign w:val="center"/>
                </w:tcPr>
                <w:p w14:paraId="270BB87B">
                  <w:pPr>
                    <w:pStyle w:val="35"/>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424" w:type="pct"/>
                  <w:tcBorders>
                    <w:tl2br w:val="nil"/>
                    <w:tr2bl w:val="nil"/>
                  </w:tcBorders>
                  <w:vAlign w:val="center"/>
                </w:tcPr>
                <w:p w14:paraId="7248500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5.73</w:t>
                  </w:r>
                </w:p>
              </w:tc>
            </w:tr>
            <w:tr w14:paraId="25A4EE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6DB30F1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11</w:t>
                  </w:r>
                </w:p>
              </w:tc>
              <w:tc>
                <w:tcPr>
                  <w:tcW w:w="2306" w:type="pct"/>
                  <w:tcBorders>
                    <w:tl2br w:val="nil"/>
                    <w:tr2bl w:val="nil"/>
                  </w:tcBorders>
                  <w:vAlign w:val="center"/>
                </w:tcPr>
                <w:p w14:paraId="463D21D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焦渣特征</w:t>
                  </w:r>
                </w:p>
              </w:tc>
              <w:tc>
                <w:tcPr>
                  <w:tcW w:w="701" w:type="pct"/>
                  <w:tcBorders>
                    <w:tl2br w:val="nil"/>
                    <w:tr2bl w:val="nil"/>
                  </w:tcBorders>
                  <w:vAlign w:val="center"/>
                </w:tcPr>
                <w:p w14:paraId="6ABFACB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1-8</w:t>
                  </w:r>
                </w:p>
              </w:tc>
              <w:tc>
                <w:tcPr>
                  <w:tcW w:w="1424" w:type="pct"/>
                  <w:tcBorders>
                    <w:tl2br w:val="nil"/>
                    <w:tr2bl w:val="nil"/>
                  </w:tcBorders>
                  <w:vAlign w:val="center"/>
                </w:tcPr>
                <w:p w14:paraId="08BC0348">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r>
            <w:tr w14:paraId="5638B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6E2033B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12</w:t>
                  </w:r>
                </w:p>
              </w:tc>
              <w:tc>
                <w:tcPr>
                  <w:tcW w:w="2306" w:type="pct"/>
                  <w:tcBorders>
                    <w:tl2br w:val="nil"/>
                    <w:tr2bl w:val="nil"/>
                  </w:tcBorders>
                  <w:vAlign w:val="center"/>
                </w:tcPr>
                <w:p w14:paraId="757082F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收到基低位发热量</w:t>
                  </w:r>
                </w:p>
              </w:tc>
              <w:tc>
                <w:tcPr>
                  <w:tcW w:w="701" w:type="pct"/>
                  <w:tcBorders>
                    <w:tl2br w:val="nil"/>
                    <w:tr2bl w:val="nil"/>
                  </w:tcBorders>
                  <w:vAlign w:val="center"/>
                </w:tcPr>
                <w:p w14:paraId="6DF75B7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Kcal/kg</w:t>
                  </w:r>
                </w:p>
              </w:tc>
              <w:tc>
                <w:tcPr>
                  <w:tcW w:w="1424" w:type="pct"/>
                  <w:tcBorders>
                    <w:tl2br w:val="nil"/>
                    <w:tr2bl w:val="nil"/>
                  </w:tcBorders>
                  <w:vAlign w:val="center"/>
                </w:tcPr>
                <w:p w14:paraId="18B7C49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3767</w:t>
                  </w:r>
                </w:p>
              </w:tc>
            </w:tr>
            <w:tr w14:paraId="6E4734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5D7FDC5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13</w:t>
                  </w:r>
                </w:p>
              </w:tc>
              <w:tc>
                <w:tcPr>
                  <w:tcW w:w="2306" w:type="pct"/>
                  <w:tcBorders>
                    <w:tl2br w:val="nil"/>
                    <w:tr2bl w:val="nil"/>
                  </w:tcBorders>
                  <w:vAlign w:val="center"/>
                </w:tcPr>
                <w:p w14:paraId="65A3B2D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收到基高位热量</w:t>
                  </w:r>
                </w:p>
              </w:tc>
              <w:tc>
                <w:tcPr>
                  <w:tcW w:w="701" w:type="pct"/>
                  <w:tcBorders>
                    <w:tl2br w:val="nil"/>
                    <w:tr2bl w:val="nil"/>
                  </w:tcBorders>
                  <w:vAlign w:val="center"/>
                </w:tcPr>
                <w:p w14:paraId="48B9BCA8">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Kcal/kg</w:t>
                  </w:r>
                </w:p>
              </w:tc>
              <w:tc>
                <w:tcPr>
                  <w:tcW w:w="1424" w:type="pct"/>
                  <w:tcBorders>
                    <w:tl2br w:val="nil"/>
                    <w:tr2bl w:val="nil"/>
                  </w:tcBorders>
                  <w:vAlign w:val="center"/>
                </w:tcPr>
                <w:p w14:paraId="4769908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3817</w:t>
                  </w:r>
                </w:p>
              </w:tc>
            </w:tr>
            <w:tr w14:paraId="590B3B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pct"/>
                  <w:tcBorders>
                    <w:tl2br w:val="nil"/>
                    <w:tr2bl w:val="nil"/>
                  </w:tcBorders>
                  <w:vAlign w:val="center"/>
                </w:tcPr>
                <w:p w14:paraId="2E368C6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14</w:t>
                  </w:r>
                </w:p>
              </w:tc>
              <w:tc>
                <w:tcPr>
                  <w:tcW w:w="2306" w:type="pct"/>
                  <w:tcBorders>
                    <w:tl2br w:val="nil"/>
                    <w:tr2bl w:val="nil"/>
                  </w:tcBorders>
                  <w:vAlign w:val="center"/>
                </w:tcPr>
                <w:p w14:paraId="6D5575B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bookmarkStart w:id="8" w:name="hmcheck_a08f1cbba828459ba62a55d9ca8617b8"/>
                  <w:r>
                    <w:rPr>
                      <w:rFonts w:hint="default" w:ascii="Times New Roman" w:hAnsi="Times New Roman" w:cs="Times New Roman"/>
                      <w:b w:val="0"/>
                      <w:bCs w:val="0"/>
                      <w:color w:val="auto"/>
                      <w:sz w:val="21"/>
                      <w:szCs w:val="21"/>
                      <w:highlight w:val="none"/>
                      <w:lang w:val="en-US" w:eastAsia="zh-CN"/>
                    </w:rPr>
                    <w:t>空</w:t>
                  </w:r>
                  <w:bookmarkEnd w:id="8"/>
                  <w:r>
                    <w:rPr>
                      <w:rFonts w:hint="default" w:ascii="Times New Roman" w:hAnsi="Times New Roman" w:cs="Times New Roman"/>
                      <w:b w:val="0"/>
                      <w:bCs w:val="0"/>
                      <w:color w:val="auto"/>
                      <w:sz w:val="21"/>
                      <w:szCs w:val="21"/>
                      <w:highlight w:val="none"/>
                      <w:lang w:val="en-US" w:eastAsia="zh-CN"/>
                    </w:rPr>
                    <w:t>干基高位热量</w:t>
                  </w:r>
                </w:p>
              </w:tc>
              <w:tc>
                <w:tcPr>
                  <w:tcW w:w="701" w:type="pct"/>
                  <w:tcBorders>
                    <w:tl2br w:val="nil"/>
                    <w:tr2bl w:val="nil"/>
                  </w:tcBorders>
                  <w:vAlign w:val="center"/>
                </w:tcPr>
                <w:p w14:paraId="46CB4AAD">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Kcal/kg</w:t>
                  </w:r>
                </w:p>
              </w:tc>
              <w:tc>
                <w:tcPr>
                  <w:tcW w:w="1424" w:type="pct"/>
                  <w:tcBorders>
                    <w:tl2br w:val="nil"/>
                    <w:tr2bl w:val="nil"/>
                  </w:tcBorders>
                  <w:vAlign w:val="center"/>
                </w:tcPr>
                <w:p w14:paraId="5772A7A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4047</w:t>
                  </w:r>
                </w:p>
              </w:tc>
            </w:tr>
          </w:tbl>
          <w:p w14:paraId="5E6D5DED">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（2）生石灰</w:t>
            </w:r>
          </w:p>
          <w:p w14:paraId="6B5B22CA">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是一种无机化合物，它的</w:t>
            </w: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"https://baike.baidu.com/item/%E5%8C%96%E5%AD%A6%E5%BC%8F/2609855" \t "_blank"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lang w:eastAsia="zh-CN"/>
              </w:rPr>
              <w:t>化学式</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szCs w:val="24"/>
                <w:highlight w:val="none"/>
                <w:lang w:eastAsia="zh-CN"/>
              </w:rPr>
              <w:t>是CaO，俗名</w:t>
            </w: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"https://baike.baidu.com/item/%E7%94%9F%E7%9F%B3%E7%81%B0/8390388" \t "_blank"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lang w:eastAsia="zh-CN"/>
              </w:rPr>
              <w:t>生石灰</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szCs w:val="24"/>
                <w:highlight w:val="none"/>
                <w:lang w:eastAsia="zh-CN"/>
              </w:rPr>
              <w:t>。物理性质是表面白色粉末，不纯者为灰白色，含有杂质时呈淡黄色或灰色，具有吸湿性，其性状表见下表</w:t>
            </w:r>
            <w:r>
              <w:rPr>
                <w:rFonts w:hint="default"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制备脱硫剂时，消化水量与石灰质量之比为5:1，浓度为20%左右的石灰浆液。</w:t>
            </w:r>
            <w:r>
              <w:rPr>
                <w:rFonts w:hint="eastAsia" w:cs="Times New Roman"/>
                <w:color w:val="auto"/>
                <w:sz w:val="24"/>
                <w:szCs w:val="24"/>
                <w:highlight w:val="none"/>
                <w:lang w:val="en-US" w:eastAsia="zh-CN"/>
              </w:rPr>
              <w:t>本项目使用的生石灰为独立袋装，储存于燃料库房。</w:t>
            </w:r>
          </w:p>
          <w:p w14:paraId="15C61478">
            <w:pPr>
              <w:pStyle w:val="2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表2-6</w:t>
            </w:r>
            <w:r>
              <w:rPr>
                <w:rFonts w:hint="default" w:ascii="Times New Roman" w:hAnsi="Times New Roman" w:eastAsia="宋体" w:cs="Times New Roman"/>
                <w:color w:val="auto"/>
                <w:sz w:val="21"/>
                <w:szCs w:val="21"/>
                <w:highlight w:val="none"/>
              </w:rPr>
              <w:t xml:space="preserve">   石灰粉性状表</w:t>
            </w:r>
          </w:p>
          <w:tbl>
            <w:tblPr>
              <w:tblStyle w:val="20"/>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992"/>
              <w:gridCol w:w="1607"/>
              <w:gridCol w:w="2306"/>
            </w:tblGrid>
            <w:tr w14:paraId="004F13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bottom w:val="single" w:color="auto" w:sz="12" w:space="0"/>
                  </w:tcBorders>
                  <w:vAlign w:val="center"/>
                </w:tcPr>
                <w:p w14:paraId="42B0258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中文名</w:t>
                  </w:r>
                </w:p>
              </w:tc>
              <w:tc>
                <w:tcPr>
                  <w:tcW w:w="1269" w:type="pct"/>
                  <w:tcBorders>
                    <w:bottom w:val="single" w:color="auto" w:sz="12" w:space="0"/>
                  </w:tcBorders>
                  <w:vAlign w:val="center"/>
                </w:tcPr>
                <w:p w14:paraId="74BA36F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氧化钙</w:t>
                  </w:r>
                </w:p>
              </w:tc>
              <w:tc>
                <w:tcPr>
                  <w:tcW w:w="1024" w:type="pct"/>
                  <w:tcBorders>
                    <w:bottom w:val="single" w:color="auto" w:sz="12" w:space="0"/>
                  </w:tcBorders>
                  <w:vAlign w:val="center"/>
                </w:tcPr>
                <w:p w14:paraId="2C25DD6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沸点</w:t>
                  </w:r>
                </w:p>
              </w:tc>
              <w:tc>
                <w:tcPr>
                  <w:tcW w:w="1469" w:type="pct"/>
                  <w:tcBorders>
                    <w:bottom w:val="single" w:color="auto" w:sz="12" w:space="0"/>
                  </w:tcBorders>
                  <w:vAlign w:val="center"/>
                </w:tcPr>
                <w:p w14:paraId="253A3BE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2850℃（3123K）</w:t>
                  </w:r>
                </w:p>
              </w:tc>
            </w:tr>
            <w:tr w14:paraId="3423A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op w:val="single" w:color="auto" w:sz="12" w:space="0"/>
                    <w:tl2br w:val="nil"/>
                    <w:tr2bl w:val="nil"/>
                  </w:tcBorders>
                  <w:vAlign w:val="center"/>
                </w:tcPr>
                <w:p w14:paraId="6D30CB6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英文名</w:t>
                  </w:r>
                </w:p>
              </w:tc>
              <w:tc>
                <w:tcPr>
                  <w:tcW w:w="1269" w:type="pct"/>
                  <w:tcBorders>
                    <w:top w:val="single" w:color="auto" w:sz="12" w:space="0"/>
                    <w:tl2br w:val="nil"/>
                    <w:tr2bl w:val="nil"/>
                  </w:tcBorders>
                  <w:vAlign w:val="center"/>
                </w:tcPr>
                <w:p w14:paraId="5F799AE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calcium oxide</w:t>
                  </w:r>
                </w:p>
              </w:tc>
              <w:tc>
                <w:tcPr>
                  <w:tcW w:w="1024" w:type="pct"/>
                  <w:tcBorders>
                    <w:top w:val="single" w:color="auto" w:sz="12" w:space="0"/>
                    <w:tl2br w:val="nil"/>
                    <w:tr2bl w:val="nil"/>
                  </w:tcBorders>
                  <w:vAlign w:val="center"/>
                </w:tcPr>
                <w:p w14:paraId="0DC33FC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水溶性</w:t>
                  </w:r>
                </w:p>
              </w:tc>
              <w:tc>
                <w:tcPr>
                  <w:tcW w:w="1469" w:type="pct"/>
                  <w:tcBorders>
                    <w:top w:val="single" w:color="auto" w:sz="12" w:space="0"/>
                    <w:tl2br w:val="nil"/>
                    <w:tr2bl w:val="nil"/>
                  </w:tcBorders>
                  <w:vAlign w:val="center"/>
                </w:tcPr>
                <w:p w14:paraId="51A6ED9C">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溶</w:t>
                  </w:r>
                  <w:r>
                    <w:rPr>
                      <w:rFonts w:hint="default" w:ascii="Times New Roman" w:hAnsi="Times New Roman" w:cs="Times New Roman"/>
                      <w:b w:val="0"/>
                      <w:bCs w:val="0"/>
                      <w:color w:val="auto"/>
                      <w:sz w:val="21"/>
                      <w:szCs w:val="21"/>
                      <w:highlight w:val="none"/>
                      <w:lang w:val="en-US" w:eastAsia="zh-CN"/>
                    </w:rPr>
                    <w:t>于水生成</w:t>
                  </w:r>
                  <w:r>
                    <w:rPr>
                      <w:rFonts w:hint="default" w:ascii="Times New Roman" w:hAnsi="Times New Roman" w:cs="Times New Roman"/>
                      <w:b w:val="0"/>
                      <w:bCs w:val="0"/>
                      <w:color w:val="auto"/>
                      <w:sz w:val="21"/>
                      <w:szCs w:val="21"/>
                      <w:highlight w:val="none"/>
                    </w:rPr>
                    <w:fldChar w:fldCharType="begin"/>
                  </w:r>
                  <w:r>
                    <w:rPr>
                      <w:rFonts w:hint="default" w:ascii="Times New Roman" w:hAnsi="Times New Roman" w:cs="Times New Roman"/>
                      <w:b w:val="0"/>
                      <w:bCs w:val="0"/>
                      <w:color w:val="auto"/>
                      <w:sz w:val="21"/>
                      <w:szCs w:val="21"/>
                      <w:highlight w:val="none"/>
                    </w:rPr>
                    <w:instrText xml:space="preserve"> HYPERLINK "https://baike.baidu.com/item/%E6%B0%A2%E6%B0%A7%E5%8C%96%E9%92%99" \t "_blank" </w:instrText>
                  </w:r>
                  <w:r>
                    <w:rPr>
                      <w:rFonts w:hint="default" w:ascii="Times New Roman" w:hAnsi="Times New Roman" w:cs="Times New Roman"/>
                      <w:b w:val="0"/>
                      <w:bCs w:val="0"/>
                      <w:color w:val="auto"/>
                      <w:sz w:val="21"/>
                      <w:szCs w:val="21"/>
                      <w:highlight w:val="none"/>
                    </w:rPr>
                    <w:fldChar w:fldCharType="separate"/>
                  </w:r>
                  <w:r>
                    <w:rPr>
                      <w:rFonts w:hint="default" w:ascii="Times New Roman" w:hAnsi="Times New Roman" w:cs="Times New Roman"/>
                      <w:b w:val="0"/>
                      <w:bCs w:val="0"/>
                      <w:color w:val="auto"/>
                      <w:sz w:val="21"/>
                      <w:szCs w:val="21"/>
                      <w:highlight w:val="none"/>
                    </w:rPr>
                    <w:t>氢氧化钙</w:t>
                  </w:r>
                  <w:r>
                    <w:rPr>
                      <w:rFonts w:hint="default" w:ascii="Times New Roman" w:hAnsi="Times New Roman" w:cs="Times New Roman"/>
                      <w:b w:val="0"/>
                      <w:bCs w:val="0"/>
                      <w:color w:val="auto"/>
                      <w:sz w:val="21"/>
                      <w:szCs w:val="21"/>
                      <w:highlight w:val="none"/>
                    </w:rPr>
                    <w:fldChar w:fldCharType="end"/>
                  </w:r>
                </w:p>
              </w:tc>
            </w:tr>
            <w:tr w14:paraId="707722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0F7C090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别称</w:t>
                  </w:r>
                </w:p>
              </w:tc>
              <w:tc>
                <w:tcPr>
                  <w:tcW w:w="1269" w:type="pct"/>
                  <w:tcBorders>
                    <w:tl2br w:val="nil"/>
                    <w:tr2bl w:val="nil"/>
                  </w:tcBorders>
                  <w:vAlign w:val="center"/>
                </w:tcPr>
                <w:p w14:paraId="0A17746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生石灰</w:t>
                  </w:r>
                </w:p>
              </w:tc>
              <w:tc>
                <w:tcPr>
                  <w:tcW w:w="1024" w:type="pct"/>
                  <w:tcBorders>
                    <w:tl2br w:val="nil"/>
                    <w:tr2bl w:val="nil"/>
                  </w:tcBorders>
                  <w:vAlign w:val="center"/>
                </w:tcPr>
                <w:p w14:paraId="0896E65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密度</w:t>
                  </w:r>
                </w:p>
              </w:tc>
              <w:tc>
                <w:tcPr>
                  <w:tcW w:w="1469" w:type="pct"/>
                  <w:tcBorders>
                    <w:tl2br w:val="nil"/>
                    <w:tr2bl w:val="nil"/>
                  </w:tcBorders>
                  <w:vAlign w:val="center"/>
                </w:tcPr>
                <w:p w14:paraId="698C750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3.350g/c</w:t>
                  </w:r>
                  <w:r>
                    <w:rPr>
                      <w:rFonts w:hint="default" w:ascii="Times New Roman" w:hAnsi="Times New Roman" w:cs="Times New Roman"/>
                      <w:b w:val="0"/>
                      <w:bCs w:val="0"/>
                      <w:color w:val="auto"/>
                      <w:sz w:val="21"/>
                      <w:szCs w:val="21"/>
                      <w:highlight w:val="none"/>
                      <w:lang w:eastAsia="zh-CN"/>
                    </w:rPr>
                    <w:t>m³</w:t>
                  </w:r>
                </w:p>
              </w:tc>
            </w:tr>
            <w:tr w14:paraId="464417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6F68566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化学式</w:t>
                  </w:r>
                </w:p>
              </w:tc>
              <w:tc>
                <w:tcPr>
                  <w:tcW w:w="1269" w:type="pct"/>
                  <w:tcBorders>
                    <w:tl2br w:val="nil"/>
                    <w:tr2bl w:val="nil"/>
                  </w:tcBorders>
                  <w:vAlign w:val="center"/>
                </w:tcPr>
                <w:p w14:paraId="227054EE">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CaO</w:t>
                  </w:r>
                </w:p>
              </w:tc>
              <w:tc>
                <w:tcPr>
                  <w:tcW w:w="1024" w:type="pct"/>
                  <w:tcBorders>
                    <w:tl2br w:val="nil"/>
                    <w:tr2bl w:val="nil"/>
                  </w:tcBorders>
                  <w:vAlign w:val="center"/>
                </w:tcPr>
                <w:p w14:paraId="2487FDE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外观</w:t>
                  </w:r>
                </w:p>
              </w:tc>
              <w:tc>
                <w:tcPr>
                  <w:tcW w:w="1469" w:type="pct"/>
                  <w:tcBorders>
                    <w:tl2br w:val="nil"/>
                    <w:tr2bl w:val="nil"/>
                  </w:tcBorders>
                  <w:vAlign w:val="center"/>
                </w:tcPr>
                <w:p w14:paraId="0CB0144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白色固体</w:t>
                  </w:r>
                </w:p>
              </w:tc>
            </w:tr>
            <w:tr w14:paraId="75464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2BE37398">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分子量</w:t>
                  </w:r>
                </w:p>
              </w:tc>
              <w:tc>
                <w:tcPr>
                  <w:tcW w:w="1269" w:type="pct"/>
                  <w:tcBorders>
                    <w:tl2br w:val="nil"/>
                    <w:tr2bl w:val="nil"/>
                  </w:tcBorders>
                  <w:vAlign w:val="center"/>
                </w:tcPr>
                <w:p w14:paraId="3971E4B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56.077</w:t>
                  </w:r>
                </w:p>
              </w:tc>
              <w:tc>
                <w:tcPr>
                  <w:tcW w:w="1024" w:type="pct"/>
                  <w:tcBorders>
                    <w:tl2br w:val="nil"/>
                    <w:tr2bl w:val="nil"/>
                  </w:tcBorders>
                  <w:vAlign w:val="center"/>
                </w:tcPr>
                <w:p w14:paraId="726554B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闪点</w:t>
                  </w:r>
                </w:p>
              </w:tc>
              <w:tc>
                <w:tcPr>
                  <w:tcW w:w="1469" w:type="pct"/>
                  <w:tcBorders>
                    <w:tl2br w:val="nil"/>
                    <w:tr2bl w:val="nil"/>
                  </w:tcBorders>
                  <w:vAlign w:val="center"/>
                </w:tcPr>
                <w:p w14:paraId="4E012EE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不可燃</w:t>
                  </w:r>
                </w:p>
              </w:tc>
            </w:tr>
            <w:tr w14:paraId="0F2C8E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63669F2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CAS登录号</w:t>
                  </w:r>
                </w:p>
              </w:tc>
              <w:tc>
                <w:tcPr>
                  <w:tcW w:w="1269" w:type="pct"/>
                  <w:tcBorders>
                    <w:tl2br w:val="nil"/>
                    <w:tr2bl w:val="nil"/>
                  </w:tcBorders>
                  <w:vAlign w:val="center"/>
                </w:tcPr>
                <w:p w14:paraId="482805F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1305-78-8</w:t>
                  </w:r>
                </w:p>
              </w:tc>
              <w:tc>
                <w:tcPr>
                  <w:tcW w:w="1024" w:type="pct"/>
                  <w:tcBorders>
                    <w:tl2br w:val="nil"/>
                    <w:tr2bl w:val="nil"/>
                  </w:tcBorders>
                  <w:vAlign w:val="center"/>
                </w:tcPr>
                <w:p w14:paraId="3A47AFD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应用</w:t>
                  </w:r>
                </w:p>
              </w:tc>
              <w:tc>
                <w:tcPr>
                  <w:tcW w:w="1469" w:type="pct"/>
                  <w:tcBorders>
                    <w:tl2br w:val="nil"/>
                    <w:tr2bl w:val="nil"/>
                  </w:tcBorders>
                  <w:vAlign w:val="center"/>
                </w:tcPr>
                <w:p w14:paraId="7D4B472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干燥剂等</w:t>
                  </w:r>
                </w:p>
              </w:tc>
            </w:tr>
            <w:tr w14:paraId="61DF8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268B7B3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EINECS登录号</w:t>
                  </w:r>
                </w:p>
              </w:tc>
              <w:tc>
                <w:tcPr>
                  <w:tcW w:w="1269" w:type="pct"/>
                  <w:tcBorders>
                    <w:tl2br w:val="nil"/>
                    <w:tr2bl w:val="nil"/>
                  </w:tcBorders>
                  <w:vAlign w:val="center"/>
                </w:tcPr>
                <w:p w14:paraId="40CB771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215-138-9</w:t>
                  </w:r>
                </w:p>
              </w:tc>
              <w:tc>
                <w:tcPr>
                  <w:tcW w:w="1024" w:type="pct"/>
                  <w:tcBorders>
                    <w:tl2br w:val="nil"/>
                    <w:tr2bl w:val="nil"/>
                  </w:tcBorders>
                  <w:vAlign w:val="center"/>
                </w:tcPr>
                <w:p w14:paraId="08DD80F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安全性描述</w:t>
                  </w:r>
                </w:p>
              </w:tc>
              <w:tc>
                <w:tcPr>
                  <w:tcW w:w="1469" w:type="pct"/>
                  <w:tcBorders>
                    <w:tl2br w:val="nil"/>
                    <w:tr2bl w:val="nil"/>
                  </w:tcBorders>
                  <w:vAlign w:val="center"/>
                </w:tcPr>
                <w:p w14:paraId="40CD7EF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较为安全</w:t>
                  </w:r>
                </w:p>
              </w:tc>
            </w:tr>
            <w:tr w14:paraId="1A5BD8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6" w:type="pct"/>
                  <w:tcBorders>
                    <w:tl2br w:val="nil"/>
                    <w:tr2bl w:val="nil"/>
                  </w:tcBorders>
                  <w:vAlign w:val="center"/>
                </w:tcPr>
                <w:p w14:paraId="519C7CC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熔点</w:t>
                  </w:r>
                </w:p>
              </w:tc>
              <w:tc>
                <w:tcPr>
                  <w:tcW w:w="1269" w:type="pct"/>
                  <w:tcBorders>
                    <w:tl2br w:val="nil"/>
                    <w:tr2bl w:val="nil"/>
                  </w:tcBorders>
                  <w:vAlign w:val="center"/>
                </w:tcPr>
                <w:p w14:paraId="2735FE9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2572℃（2845K）</w:t>
                  </w:r>
                </w:p>
              </w:tc>
              <w:tc>
                <w:tcPr>
                  <w:tcW w:w="1024" w:type="pct"/>
                  <w:tcBorders>
                    <w:tl2br w:val="nil"/>
                    <w:tr2bl w:val="nil"/>
                  </w:tcBorders>
                  <w:vAlign w:val="center"/>
                </w:tcPr>
                <w:p w14:paraId="4D3242C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管制信息</w:t>
                  </w:r>
                </w:p>
              </w:tc>
              <w:tc>
                <w:tcPr>
                  <w:tcW w:w="1469" w:type="pct"/>
                  <w:tcBorders>
                    <w:tl2br w:val="nil"/>
                    <w:tr2bl w:val="nil"/>
                  </w:tcBorders>
                  <w:vAlign w:val="center"/>
                </w:tcPr>
                <w:p w14:paraId="4FC779F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不受管制</w:t>
                  </w:r>
                </w:p>
              </w:tc>
            </w:tr>
          </w:tbl>
          <w:p w14:paraId="2DE8A58D">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）氢氧化钠</w:t>
            </w:r>
          </w:p>
          <w:p w14:paraId="7E26897F">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分子式NaOH，氢氧化钠（Sodium</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hydroxide），也称苛性钠、烧碱、火碱，是一种无机化合物，化学式NaOH，氢氧化钠具有强碱性，腐蚀性极强，可作酸中和剂、配合掩蔽剂、沉淀剂、沉淀掩蔽剂、显色剂、皂化剂、去皮剂、洗涤剂等，用途非常广泛。</w:t>
            </w:r>
            <w:r>
              <w:rPr>
                <w:rFonts w:hint="default" w:ascii="Times New Roman" w:hAnsi="Times New Roman" w:eastAsia="宋体" w:cs="Times New Roman"/>
                <w:color w:val="auto"/>
                <w:sz w:val="24"/>
                <w:szCs w:val="24"/>
                <w:highlight w:val="none"/>
                <w:lang w:val="en-US" w:eastAsia="zh-CN"/>
              </w:rPr>
              <w:t>在制备脱硫剂再生过程配比1:4。</w:t>
            </w:r>
            <w:r>
              <w:rPr>
                <w:rFonts w:hint="eastAsia" w:cs="Times New Roman"/>
                <w:color w:val="auto"/>
                <w:sz w:val="24"/>
                <w:szCs w:val="24"/>
                <w:highlight w:val="none"/>
                <w:lang w:val="en-US" w:eastAsia="zh-CN"/>
              </w:rPr>
              <w:t>本项目使用的氢氧化钠为独立袋装，储存于燃料库房。</w:t>
            </w:r>
            <w:r>
              <w:rPr>
                <w:rFonts w:hint="default" w:ascii="Times New Roman" w:hAnsi="Times New Roman" w:eastAsia="宋体" w:cs="Times New Roman"/>
                <w:color w:val="auto"/>
                <w:sz w:val="24"/>
                <w:szCs w:val="24"/>
                <w:highlight w:val="none"/>
                <w:lang w:eastAsia="zh-CN"/>
              </w:rPr>
              <w:t>其性状表见下表</w:t>
            </w:r>
            <w:r>
              <w:rPr>
                <w:rFonts w:hint="default" w:ascii="Times New Roman" w:hAnsi="Times New Roman" w:eastAsia="宋体"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lang w:eastAsia="zh-CN"/>
              </w:rPr>
              <w:t>。</w:t>
            </w:r>
          </w:p>
          <w:p w14:paraId="22F09C4C">
            <w:pPr>
              <w:pStyle w:val="2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val="en-US" w:eastAsia="zh-CN"/>
              </w:rPr>
              <w:t>2-7</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氢氧化钠</w:t>
            </w:r>
            <w:r>
              <w:rPr>
                <w:rFonts w:hint="default" w:ascii="Times New Roman" w:hAnsi="Times New Roman" w:eastAsia="宋体" w:cs="Times New Roman"/>
                <w:color w:val="auto"/>
                <w:sz w:val="21"/>
                <w:szCs w:val="21"/>
                <w:highlight w:val="none"/>
              </w:rPr>
              <w:t>性状表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2200"/>
              <w:gridCol w:w="1015"/>
              <w:gridCol w:w="3234"/>
            </w:tblGrid>
            <w:tr w14:paraId="04AE7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89" w:type="pct"/>
                  <w:tcBorders>
                    <w:bottom w:val="single" w:color="auto" w:sz="12" w:space="0"/>
                  </w:tcBorders>
                  <w:vAlign w:val="center"/>
                </w:tcPr>
                <w:p w14:paraId="2C6F5DE1">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中文名</w:t>
                  </w:r>
                </w:p>
              </w:tc>
              <w:tc>
                <w:tcPr>
                  <w:tcW w:w="1402" w:type="pct"/>
                  <w:tcBorders>
                    <w:bottom w:val="single" w:color="auto" w:sz="12" w:space="0"/>
                  </w:tcBorders>
                  <w:vAlign w:val="center"/>
                </w:tcPr>
                <w:p w14:paraId="00FE3824">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碳酸钠</w:t>
                  </w:r>
                </w:p>
              </w:tc>
              <w:tc>
                <w:tcPr>
                  <w:tcW w:w="647" w:type="pct"/>
                  <w:tcBorders>
                    <w:bottom w:val="single" w:color="auto" w:sz="12" w:space="0"/>
                  </w:tcBorders>
                  <w:vAlign w:val="center"/>
                </w:tcPr>
                <w:p w14:paraId="47272646">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熔点</w:t>
                  </w:r>
                </w:p>
              </w:tc>
              <w:tc>
                <w:tcPr>
                  <w:tcW w:w="2060" w:type="pct"/>
                  <w:tcBorders>
                    <w:bottom w:val="single" w:color="auto" w:sz="12" w:space="0"/>
                  </w:tcBorders>
                  <w:vAlign w:val="center"/>
                </w:tcPr>
                <w:p w14:paraId="0E7950A1">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851℃</w:t>
                  </w:r>
                </w:p>
              </w:tc>
            </w:tr>
            <w:tr w14:paraId="4D8227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op w:val="single" w:color="auto" w:sz="12" w:space="0"/>
                    <w:tl2br w:val="nil"/>
                    <w:tr2bl w:val="nil"/>
                  </w:tcBorders>
                  <w:vAlign w:val="center"/>
                </w:tcPr>
                <w:p w14:paraId="0A4A3724">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英文名</w:t>
                  </w:r>
                </w:p>
              </w:tc>
              <w:tc>
                <w:tcPr>
                  <w:tcW w:w="1402" w:type="pct"/>
                  <w:tcBorders>
                    <w:top w:val="single" w:color="auto" w:sz="12" w:space="0"/>
                    <w:tl2br w:val="nil"/>
                    <w:tr2bl w:val="nil"/>
                  </w:tcBorders>
                  <w:vAlign w:val="center"/>
                </w:tcPr>
                <w:p w14:paraId="48A75CF4">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Sodium</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hydroxide</w:t>
                  </w:r>
                </w:p>
              </w:tc>
              <w:tc>
                <w:tcPr>
                  <w:tcW w:w="647" w:type="pct"/>
                  <w:tcBorders>
                    <w:top w:val="single" w:color="auto" w:sz="12" w:space="0"/>
                    <w:tl2br w:val="nil"/>
                    <w:tr2bl w:val="nil"/>
                  </w:tcBorders>
                  <w:vAlign w:val="center"/>
                </w:tcPr>
                <w:p w14:paraId="323F4147">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水溶性</w:t>
                  </w:r>
                </w:p>
              </w:tc>
              <w:tc>
                <w:tcPr>
                  <w:tcW w:w="2060" w:type="pct"/>
                  <w:tcBorders>
                    <w:top w:val="single" w:color="auto" w:sz="12" w:space="0"/>
                    <w:tl2br w:val="nil"/>
                    <w:tr2bl w:val="nil"/>
                  </w:tcBorders>
                  <w:vAlign w:val="center"/>
                </w:tcPr>
                <w:p w14:paraId="67378165">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易溶于水</w:t>
                  </w:r>
                </w:p>
              </w:tc>
            </w:tr>
            <w:tr w14:paraId="69235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l2br w:val="nil"/>
                    <w:tr2bl w:val="nil"/>
                  </w:tcBorders>
                  <w:vAlign w:val="center"/>
                </w:tcPr>
                <w:p w14:paraId="421CC899">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别称</w:t>
                  </w:r>
                </w:p>
              </w:tc>
              <w:tc>
                <w:tcPr>
                  <w:tcW w:w="1402" w:type="pct"/>
                  <w:tcBorders>
                    <w:tl2br w:val="nil"/>
                    <w:tr2bl w:val="nil"/>
                  </w:tcBorders>
                  <w:vAlign w:val="center"/>
                </w:tcPr>
                <w:p w14:paraId="527087B7">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苏打、纯碱、洗涤碱</w:t>
                  </w:r>
                </w:p>
              </w:tc>
              <w:tc>
                <w:tcPr>
                  <w:tcW w:w="647" w:type="pct"/>
                  <w:tcBorders>
                    <w:tl2br w:val="nil"/>
                    <w:tr2bl w:val="nil"/>
                  </w:tcBorders>
                  <w:vAlign w:val="center"/>
                </w:tcPr>
                <w:p w14:paraId="7E069DC8">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外观</w:t>
                  </w:r>
                </w:p>
              </w:tc>
              <w:tc>
                <w:tcPr>
                  <w:tcW w:w="2060" w:type="pct"/>
                  <w:tcBorders>
                    <w:tl2br w:val="nil"/>
                    <w:tr2bl w:val="nil"/>
                  </w:tcBorders>
                  <w:vAlign w:val="center"/>
                </w:tcPr>
                <w:p w14:paraId="06175D30">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白色结晶性粉末</w:t>
                  </w:r>
                </w:p>
              </w:tc>
            </w:tr>
            <w:tr w14:paraId="689CA6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l2br w:val="nil"/>
                    <w:tr2bl w:val="nil"/>
                  </w:tcBorders>
                  <w:vAlign w:val="center"/>
                </w:tcPr>
                <w:p w14:paraId="27CF0E91">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化学式</w:t>
                  </w:r>
                </w:p>
              </w:tc>
              <w:tc>
                <w:tcPr>
                  <w:tcW w:w="1402" w:type="pct"/>
                  <w:tcBorders>
                    <w:tl2br w:val="nil"/>
                    <w:tr2bl w:val="nil"/>
                  </w:tcBorders>
                  <w:vAlign w:val="center"/>
                </w:tcPr>
                <w:p w14:paraId="0CFD20B4">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NaOH</w:t>
                  </w:r>
                </w:p>
              </w:tc>
              <w:tc>
                <w:tcPr>
                  <w:tcW w:w="647" w:type="pct"/>
                  <w:tcBorders>
                    <w:tl2br w:val="nil"/>
                    <w:tr2bl w:val="nil"/>
                  </w:tcBorders>
                  <w:vAlign w:val="center"/>
                </w:tcPr>
                <w:p w14:paraId="56569BFC">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密度</w:t>
                  </w:r>
                </w:p>
              </w:tc>
              <w:tc>
                <w:tcPr>
                  <w:tcW w:w="2060" w:type="pct"/>
                  <w:tcBorders>
                    <w:tl2br w:val="nil"/>
                    <w:tr2bl w:val="nil"/>
                  </w:tcBorders>
                  <w:vAlign w:val="center"/>
                </w:tcPr>
                <w:p w14:paraId="5B0FACD8">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2.13</w:t>
                  </w:r>
                  <w:r>
                    <w:rPr>
                      <w:rFonts w:hint="default" w:ascii="Times New Roman" w:hAnsi="Times New Roman" w:cs="Times New Roman"/>
                      <w:color w:val="auto"/>
                      <w:sz w:val="21"/>
                      <w:szCs w:val="21"/>
                      <w:highlight w:val="none"/>
                    </w:rPr>
                    <w:t>g/c</w:t>
                  </w:r>
                  <w:r>
                    <w:rPr>
                      <w:rFonts w:hint="default" w:ascii="Times New Roman" w:hAnsi="Times New Roman" w:cs="Times New Roman"/>
                      <w:color w:val="auto"/>
                      <w:sz w:val="21"/>
                      <w:szCs w:val="21"/>
                      <w:highlight w:val="none"/>
                      <w:lang w:eastAsia="zh-CN"/>
                    </w:rPr>
                    <w:t>m³</w:t>
                  </w:r>
                </w:p>
              </w:tc>
            </w:tr>
            <w:tr w14:paraId="1043A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l2br w:val="nil"/>
                    <w:tr2bl w:val="nil"/>
                  </w:tcBorders>
                  <w:vAlign w:val="center"/>
                </w:tcPr>
                <w:p w14:paraId="70C2ECB4">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分子量</w:t>
                  </w:r>
                </w:p>
              </w:tc>
              <w:tc>
                <w:tcPr>
                  <w:tcW w:w="1402" w:type="pct"/>
                  <w:tcBorders>
                    <w:tl2br w:val="nil"/>
                    <w:tr2bl w:val="nil"/>
                  </w:tcBorders>
                  <w:vAlign w:val="center"/>
                </w:tcPr>
                <w:p w14:paraId="7A07C087">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40.00</w:t>
                  </w:r>
                </w:p>
              </w:tc>
              <w:tc>
                <w:tcPr>
                  <w:tcW w:w="647" w:type="pct"/>
                  <w:tcBorders>
                    <w:tl2br w:val="nil"/>
                    <w:tr2bl w:val="nil"/>
                  </w:tcBorders>
                  <w:vAlign w:val="center"/>
                </w:tcPr>
                <w:p w14:paraId="256035B3">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沸点</w:t>
                  </w:r>
                </w:p>
              </w:tc>
              <w:tc>
                <w:tcPr>
                  <w:tcW w:w="2060" w:type="pct"/>
                  <w:tcBorders>
                    <w:tl2br w:val="nil"/>
                    <w:tr2bl w:val="nil"/>
                  </w:tcBorders>
                  <w:vAlign w:val="center"/>
                </w:tcPr>
                <w:p w14:paraId="11E48FEF">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1388</w:t>
                  </w:r>
                  <w:r>
                    <w:rPr>
                      <w:rFonts w:hint="default" w:ascii="Times New Roman" w:hAnsi="Times New Roman" w:cs="Times New Roman"/>
                      <w:color w:val="auto"/>
                      <w:sz w:val="21"/>
                      <w:szCs w:val="21"/>
                      <w:highlight w:val="none"/>
                    </w:rPr>
                    <w:t>℃</w:t>
                  </w:r>
                </w:p>
              </w:tc>
            </w:tr>
            <w:tr w14:paraId="2222E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l2br w:val="nil"/>
                    <w:tr2bl w:val="nil"/>
                  </w:tcBorders>
                  <w:vAlign w:val="center"/>
                </w:tcPr>
                <w:p w14:paraId="007B1143">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CAS登录号</w:t>
                  </w:r>
                </w:p>
              </w:tc>
              <w:tc>
                <w:tcPr>
                  <w:tcW w:w="1402" w:type="pct"/>
                  <w:tcBorders>
                    <w:tl2br w:val="nil"/>
                    <w:tr2bl w:val="nil"/>
                  </w:tcBorders>
                  <w:vAlign w:val="center"/>
                </w:tcPr>
                <w:p w14:paraId="1A0DCA55">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1310-73-2</w:t>
                  </w:r>
                </w:p>
              </w:tc>
              <w:tc>
                <w:tcPr>
                  <w:tcW w:w="647" w:type="pct"/>
                  <w:tcBorders>
                    <w:tl2br w:val="nil"/>
                    <w:tr2bl w:val="nil"/>
                  </w:tcBorders>
                  <w:vAlign w:val="center"/>
                </w:tcPr>
                <w:p w14:paraId="1590D476">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熔点</w:t>
                  </w:r>
                </w:p>
              </w:tc>
              <w:tc>
                <w:tcPr>
                  <w:tcW w:w="2060" w:type="pct"/>
                  <w:tcBorders>
                    <w:tl2br w:val="nil"/>
                    <w:tr2bl w:val="nil"/>
                  </w:tcBorders>
                  <w:vAlign w:val="center"/>
                </w:tcPr>
                <w:p w14:paraId="2B41E2D9">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318</w:t>
                  </w:r>
                  <w:r>
                    <w:rPr>
                      <w:rFonts w:hint="default" w:ascii="Times New Roman" w:hAnsi="Times New Roman" w:cs="Times New Roman"/>
                      <w:color w:val="auto"/>
                      <w:sz w:val="21"/>
                      <w:szCs w:val="21"/>
                      <w:highlight w:val="none"/>
                    </w:rPr>
                    <w:t>℃（2845K）</w:t>
                  </w:r>
                </w:p>
              </w:tc>
            </w:tr>
            <w:tr w14:paraId="4C117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9" w:type="pct"/>
                  <w:tcBorders>
                    <w:tl2br w:val="nil"/>
                    <w:tr2bl w:val="nil"/>
                  </w:tcBorders>
                  <w:vAlign w:val="center"/>
                </w:tcPr>
                <w:p w14:paraId="516B8B0B">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EINECS登录号</w:t>
                  </w:r>
                </w:p>
              </w:tc>
              <w:tc>
                <w:tcPr>
                  <w:tcW w:w="1402" w:type="pct"/>
                  <w:tcBorders>
                    <w:tl2br w:val="nil"/>
                    <w:tr2bl w:val="nil"/>
                  </w:tcBorders>
                  <w:vAlign w:val="center"/>
                </w:tcPr>
                <w:p w14:paraId="71FC699D">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215-185-5</w:t>
                  </w:r>
                </w:p>
              </w:tc>
              <w:tc>
                <w:tcPr>
                  <w:tcW w:w="647" w:type="pct"/>
                  <w:tcBorders>
                    <w:tl2br w:val="nil"/>
                    <w:tr2bl w:val="nil"/>
                  </w:tcBorders>
                  <w:vAlign w:val="center"/>
                </w:tcPr>
                <w:p w14:paraId="56514729">
                  <w:pPr>
                    <w:pStyle w:val="35"/>
                    <w:keepNext w:val="0"/>
                    <w:keepLines w:val="0"/>
                    <w:suppressLineNumbers w:val="0"/>
                    <w:bidi w:val="0"/>
                    <w:spacing w:before="0" w:beforeAutospacing="0" w:after="0" w:afterAutospacing="0"/>
                    <w:ind w:right="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防护措施</w:t>
                  </w:r>
                </w:p>
              </w:tc>
              <w:tc>
                <w:tcPr>
                  <w:tcW w:w="2060" w:type="pct"/>
                  <w:tcBorders>
                    <w:tl2br w:val="nil"/>
                    <w:tr2bl w:val="nil"/>
                  </w:tcBorders>
                  <w:vAlign w:val="center"/>
                </w:tcPr>
                <w:p w14:paraId="73D4EFDA">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工程控制：密闭操作，注意通风</w:t>
                  </w:r>
                </w:p>
                <w:p w14:paraId="41E5D689">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呼吸系统防护：必要时佩戴防毒口罩。</w:t>
                  </w:r>
                </w:p>
                <w:p w14:paraId="02D44D31">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眼睛防护：戴化学安全防护眼镜。</w:t>
                  </w:r>
                </w:p>
                <w:p w14:paraId="5872B1C7">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身体防护：穿工作服（防腐材料制作）。</w:t>
                  </w:r>
                </w:p>
                <w:p w14:paraId="17AA7122">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手防护：戴橡胶手套。</w:t>
                  </w:r>
                </w:p>
                <w:p w14:paraId="40B4BAC9">
                  <w:pPr>
                    <w:pStyle w:val="35"/>
                    <w:keepNext w:val="0"/>
                    <w:keepLines w:val="0"/>
                    <w:suppressLineNumbers w:val="0"/>
                    <w:bidi w:val="0"/>
                    <w:spacing w:before="0" w:beforeAutospacing="0" w:after="0" w:afterAutospacing="0"/>
                    <w:ind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其他：工作后，沐浴更衣。注意个人清洁卫生。</w:t>
                  </w:r>
                </w:p>
              </w:tc>
            </w:tr>
          </w:tbl>
          <w:p w14:paraId="233579C2">
            <w:pPr>
              <w:spacing w:line="360" w:lineRule="auto"/>
              <w:rPr>
                <w:rFonts w:hint="default" w:ascii="Times New Roman" w:hAnsi="Times New Roman" w:eastAsia="宋体" w:cs="Times New Roman"/>
                <w:b/>
                <w:bCs/>
                <w:snapToGrid w:val="0"/>
                <w:color w:val="auto"/>
                <w:kern w:val="0"/>
                <w:sz w:val="24"/>
                <w:highlight w:val="none"/>
              </w:rPr>
            </w:pPr>
            <w:r>
              <w:rPr>
                <w:rFonts w:hint="default" w:ascii="Times New Roman" w:hAnsi="Times New Roman" w:cs="Times New Roman"/>
                <w:b/>
                <w:bCs/>
                <w:snapToGrid w:val="0"/>
                <w:color w:val="auto"/>
                <w:kern w:val="0"/>
                <w:sz w:val="24"/>
                <w:highlight w:val="none"/>
                <w:lang w:val="en-US" w:eastAsia="zh-CN"/>
              </w:rPr>
              <w:t>6、</w:t>
            </w:r>
            <w:r>
              <w:rPr>
                <w:rFonts w:hint="default" w:ascii="Times New Roman" w:hAnsi="Times New Roman" w:eastAsia="宋体" w:cs="Times New Roman"/>
                <w:b/>
                <w:bCs/>
                <w:snapToGrid w:val="0"/>
                <w:color w:val="auto"/>
                <w:kern w:val="0"/>
                <w:sz w:val="24"/>
                <w:highlight w:val="none"/>
              </w:rPr>
              <w:t>总平面布置</w:t>
            </w:r>
          </w:p>
          <w:p w14:paraId="1F153D25">
            <w:pPr>
              <w:spacing w:line="360" w:lineRule="auto"/>
              <w:ind w:firstLine="480" w:firstLineChars="200"/>
              <w:rPr>
                <w:rFonts w:hint="default" w:ascii="Times New Roman" w:hAnsi="Times New Roman" w:cs="Times New Roman"/>
                <w:color w:val="auto"/>
                <w:spacing w:val="6"/>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本项目位于</w:t>
            </w:r>
            <w:r>
              <w:rPr>
                <w:rFonts w:hint="default" w:ascii="Times New Roman" w:hAnsi="Times New Roman" w:cs="Times New Roman"/>
                <w:color w:val="auto"/>
                <w:sz w:val="24"/>
                <w:szCs w:val="24"/>
                <w:highlight w:val="none"/>
                <w:lang w:val="en-US" w:eastAsia="zh-CN"/>
              </w:rPr>
              <w:t>新疆兵团第七师129团，</w:t>
            </w:r>
            <w:r>
              <w:rPr>
                <w:rFonts w:hint="default" w:ascii="Times New Roman" w:hAnsi="Times New Roman" w:cs="Times New Roman"/>
                <w:b w:val="0"/>
                <w:bCs w:val="0"/>
                <w:color w:val="auto"/>
                <w:sz w:val="24"/>
                <w:szCs w:val="24"/>
                <w:highlight w:val="none"/>
                <w:lang w:val="en-US" w:eastAsia="zh-CN"/>
              </w:rPr>
              <w:t>项目区东侧为养殖场和农田，西侧为奎北铁路线，南侧为空地，隔空地为奎车公路，北侧为新疆源润长盛物流有限公司</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项目</w:t>
            </w:r>
            <w:r>
              <w:rPr>
                <w:rFonts w:hint="default" w:ascii="Times New Roman" w:hAnsi="Times New Roman" w:eastAsia="宋体" w:cs="Times New Roman"/>
                <w:b w:val="0"/>
                <w:bCs w:val="0"/>
                <w:color w:val="auto"/>
                <w:sz w:val="24"/>
                <w:szCs w:val="24"/>
                <w:highlight w:val="none"/>
              </w:rPr>
              <w:t>周边环境示意图见附图</w:t>
            </w:r>
            <w:r>
              <w:rPr>
                <w:rFonts w:hint="default" w:ascii="Times New Roman" w:hAnsi="Times New Roman"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w:t>
            </w:r>
          </w:p>
          <w:p w14:paraId="33FA3A83">
            <w:pPr>
              <w:spacing w:line="360" w:lineRule="auto"/>
              <w:ind w:firstLine="504" w:firstLineChars="200"/>
              <w:rPr>
                <w:rFonts w:hint="default" w:ascii="Times New Roman" w:hAnsi="Times New Roman" w:eastAsia="宋体" w:cs="Times New Roman"/>
                <w:color w:val="auto"/>
                <w:spacing w:val="16"/>
                <w:sz w:val="23"/>
                <w:szCs w:val="23"/>
                <w:highlight w:val="none"/>
                <w:lang w:val="en-US"/>
              </w:rPr>
            </w:pPr>
            <w:r>
              <w:rPr>
                <w:rFonts w:hint="default" w:ascii="Times New Roman" w:hAnsi="Times New Roman" w:cs="Times New Roman"/>
                <w:color w:val="auto"/>
                <w:spacing w:val="6"/>
                <w:sz w:val="24"/>
                <w:szCs w:val="24"/>
                <w:highlight w:val="none"/>
                <w:lang w:val="en-US" w:eastAsia="zh-CN"/>
              </w:rPr>
              <w:t>本项目整体呈规则的长方形布置，</w:t>
            </w:r>
            <w:r>
              <w:rPr>
                <w:rFonts w:hint="default" w:ascii="Times New Roman" w:hAnsi="Times New Roman" w:eastAsia="宋体" w:cs="Times New Roman"/>
                <w:color w:val="auto"/>
                <w:spacing w:val="2"/>
                <w:sz w:val="24"/>
                <w:szCs w:val="24"/>
                <w:highlight w:val="none"/>
              </w:rPr>
              <w:t>大门</w:t>
            </w:r>
            <w:r>
              <w:rPr>
                <w:rFonts w:hint="default" w:ascii="Times New Roman" w:hAnsi="Times New Roman" w:cs="Times New Roman"/>
                <w:color w:val="auto"/>
                <w:spacing w:val="2"/>
                <w:sz w:val="24"/>
                <w:szCs w:val="24"/>
                <w:highlight w:val="none"/>
                <w:lang w:val="en-US" w:eastAsia="zh-CN"/>
              </w:rPr>
              <w:t>位</w:t>
            </w:r>
            <w:r>
              <w:rPr>
                <w:rFonts w:hint="default" w:ascii="Times New Roman" w:hAnsi="Times New Roman" w:eastAsia="宋体" w:cs="Times New Roman"/>
                <w:color w:val="auto"/>
                <w:sz w:val="24"/>
                <w:szCs w:val="24"/>
                <w:highlight w:val="none"/>
              </w:rPr>
              <w:t>于</w:t>
            </w:r>
            <w:r>
              <w:rPr>
                <w:rFonts w:hint="default" w:ascii="Times New Roman" w:hAnsi="Times New Roman" w:cs="Times New Roman"/>
                <w:color w:val="auto"/>
                <w:sz w:val="24"/>
                <w:szCs w:val="24"/>
                <w:highlight w:val="none"/>
                <w:lang w:val="en-US" w:eastAsia="zh-CN"/>
              </w:rPr>
              <w:t>项目区西侧，项目区内主干道沿大门自西向东，北侧为粮食平房仓，南侧为烘干区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2"/>
                <w:sz w:val="24"/>
                <w:szCs w:val="24"/>
                <w:highlight w:val="none"/>
              </w:rPr>
              <w:t>厂区布置主要按照产品流向进行布置，最大限度减少了原料及成品的周转路线。</w:t>
            </w:r>
            <w:r>
              <w:rPr>
                <w:rFonts w:hint="default" w:ascii="Times New Roman" w:hAnsi="Times New Roman" w:eastAsia="宋体" w:cs="Times New Roman"/>
                <w:color w:val="auto"/>
                <w:spacing w:val="-2"/>
                <w:sz w:val="24"/>
                <w:szCs w:val="24"/>
                <w:highlight w:val="none"/>
              </w:rPr>
              <w:t>厂区平面布置基本符合规范要求，布局基本合理。</w:t>
            </w:r>
            <w:r>
              <w:rPr>
                <w:rFonts w:hint="default" w:ascii="Times New Roman" w:hAnsi="Times New Roman" w:cs="Times New Roman"/>
                <w:color w:val="auto"/>
                <w:spacing w:val="-2"/>
                <w:sz w:val="24"/>
                <w:szCs w:val="24"/>
                <w:highlight w:val="none"/>
                <w:lang w:val="en-US" w:eastAsia="zh-CN"/>
              </w:rPr>
              <w:t>总平面图见附图5。</w:t>
            </w:r>
          </w:p>
          <w:p w14:paraId="2AE47248">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cs="Times New Roman"/>
                <w:b/>
                <w:bCs/>
                <w:snapToGrid w:val="0"/>
                <w:color w:val="auto"/>
                <w:kern w:val="0"/>
                <w:sz w:val="24"/>
                <w:highlight w:val="none"/>
                <w:lang w:val="en-US" w:eastAsia="zh-CN"/>
              </w:rPr>
              <w:t>7、</w:t>
            </w:r>
            <w:r>
              <w:rPr>
                <w:rFonts w:hint="default" w:ascii="Times New Roman" w:hAnsi="Times New Roman" w:eastAsia="宋体" w:cs="Times New Roman"/>
                <w:b/>
                <w:bCs/>
                <w:snapToGrid w:val="0"/>
                <w:color w:val="auto"/>
                <w:kern w:val="0"/>
                <w:sz w:val="24"/>
                <w:highlight w:val="none"/>
                <w:lang w:val="en-US" w:eastAsia="zh-CN"/>
              </w:rPr>
              <w:t>水平衡分析</w:t>
            </w:r>
          </w:p>
          <w:p w14:paraId="2FCBF2C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szCs w:val="24"/>
                <w:highlight w:val="none"/>
                <w:lang w:val="en-US" w:eastAsia="zh-CN" w:bidi="ar"/>
              </w:rPr>
              <w:t>根据建设单位提供的资料，</w:t>
            </w:r>
            <w:r>
              <w:rPr>
                <w:rFonts w:hint="default" w:ascii="Times New Roman" w:hAnsi="Times New Roman" w:cs="Times New Roman"/>
                <w:color w:val="auto"/>
                <w:kern w:val="0"/>
                <w:sz w:val="24"/>
                <w:szCs w:val="24"/>
                <w:highlight w:val="none"/>
                <w:lang w:bidi="ar"/>
              </w:rPr>
              <w:t>本项目用水</w:t>
            </w:r>
            <w:r>
              <w:rPr>
                <w:rFonts w:hint="default" w:ascii="Times New Roman" w:hAnsi="Times New Roman" w:cs="Times New Roman"/>
                <w:color w:val="auto"/>
                <w:kern w:val="0"/>
                <w:sz w:val="24"/>
                <w:szCs w:val="24"/>
                <w:highlight w:val="none"/>
                <w:lang w:val="en-US" w:eastAsia="zh-CN" w:bidi="ar"/>
              </w:rPr>
              <w:t>主要为职工生活用水</w:t>
            </w:r>
            <w:r>
              <w:rPr>
                <w:rFonts w:hint="eastAsia" w:cs="Times New Roman"/>
                <w:color w:val="auto"/>
                <w:kern w:val="0"/>
                <w:sz w:val="24"/>
                <w:szCs w:val="24"/>
                <w:highlight w:val="none"/>
                <w:lang w:val="en-US" w:eastAsia="zh-CN" w:bidi="ar"/>
              </w:rPr>
              <w:t>和脱硫用水</w:t>
            </w:r>
            <w:r>
              <w:rPr>
                <w:rFonts w:hint="default" w:ascii="Times New Roman" w:hAnsi="Times New Roman" w:cs="Times New Roman"/>
                <w:color w:val="auto"/>
                <w:kern w:val="0"/>
                <w:sz w:val="24"/>
                <w:szCs w:val="24"/>
                <w:highlight w:val="none"/>
                <w:lang w:val="en-US" w:eastAsia="zh-CN" w:bidi="ar"/>
              </w:rPr>
              <w:t>，从129团拉运解决</w:t>
            </w:r>
            <w:r>
              <w:rPr>
                <w:rFonts w:hint="default" w:ascii="Times New Roman" w:hAnsi="Times New Roman" w:cs="Times New Roman"/>
                <w:color w:val="auto"/>
                <w:sz w:val="24"/>
                <w:highlight w:val="none"/>
              </w:rPr>
              <w:t>。</w:t>
            </w:r>
          </w:p>
          <w:p w14:paraId="7BD50AA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生活用水</w:t>
            </w:r>
          </w:p>
          <w:p w14:paraId="5C9CCCD7">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szCs w:val="24"/>
                <w:highlight w:val="none"/>
              </w:rPr>
              <w:t>根据《新疆维吾尔自治区生活用水定额》中</w:t>
            </w:r>
            <w:r>
              <w:rPr>
                <w:rFonts w:hint="default" w:ascii="Times New Roman" w:hAnsi="Times New Roman" w:cs="Times New Roman"/>
                <w:color w:val="auto"/>
                <w:sz w:val="24"/>
                <w:szCs w:val="24"/>
                <w:highlight w:val="none"/>
                <w:lang w:val="en-US" w:eastAsia="zh-CN"/>
              </w:rPr>
              <w:t>农村居民住宅北疆伊阿塔区平房及建议楼房</w:t>
            </w:r>
            <w:r>
              <w:rPr>
                <w:rFonts w:hint="default" w:ascii="Times New Roman" w:hAnsi="Times New Roman" w:cs="Times New Roman"/>
                <w:color w:val="auto"/>
                <w:sz w:val="24"/>
                <w:szCs w:val="24"/>
                <w:highlight w:val="none"/>
              </w:rPr>
              <w:t>，用水量按每人为</w:t>
            </w:r>
            <w:r>
              <w:rPr>
                <w:rFonts w:hint="default" w:ascii="Times New Roman" w:hAnsi="Times New Roman" w:cs="Times New Roman"/>
                <w:color w:val="auto"/>
                <w:sz w:val="24"/>
                <w:szCs w:val="24"/>
                <w:highlight w:val="none"/>
                <w:lang w:val="en-US" w:eastAsia="zh-CN"/>
              </w:rPr>
              <w:t>20～3</w:t>
            </w:r>
            <w:r>
              <w:rPr>
                <w:rFonts w:hint="default" w:ascii="Times New Roman" w:hAnsi="Times New Roman" w:cs="Times New Roman"/>
                <w:color w:val="auto"/>
                <w:sz w:val="24"/>
                <w:szCs w:val="24"/>
                <w:highlight w:val="none"/>
              </w:rPr>
              <w:t>0</w:t>
            </w:r>
            <w:r>
              <w:rPr>
                <w:rFonts w:hint="default" w:ascii="Times New Roman" w:hAnsi="Times New Roman" w:cs="Times New Roman"/>
                <w:color w:val="auto"/>
                <w:sz w:val="24"/>
                <w:szCs w:val="24"/>
                <w:highlight w:val="none"/>
                <w:lang w:eastAsia="zh-CN"/>
              </w:rPr>
              <w:t>升/天</w:t>
            </w:r>
            <w:r>
              <w:rPr>
                <w:rFonts w:hint="default" w:ascii="Times New Roman" w:hAnsi="Times New Roman" w:cs="Times New Roman"/>
                <w:color w:val="auto"/>
                <w:sz w:val="24"/>
                <w:szCs w:val="24"/>
                <w:highlight w:val="none"/>
              </w:rPr>
              <w:t>计，职工</w:t>
            </w:r>
            <w:r>
              <w:rPr>
                <w:rFonts w:hint="default" w:ascii="Times New Roman" w:hAnsi="Times New Roman" w:cs="Times New Roman"/>
                <w:color w:val="auto"/>
                <w:kern w:val="0"/>
                <w:sz w:val="24"/>
                <w:szCs w:val="24"/>
                <w:highlight w:val="none"/>
                <w:lang w:val="en-US" w:eastAsia="zh-CN" w:bidi="ar"/>
              </w:rPr>
              <w:t>不在厂区食宿</w:t>
            </w:r>
            <w:r>
              <w:rPr>
                <w:rFonts w:hint="default" w:ascii="Times New Roman" w:hAnsi="Times New Roman" w:cs="Times New Roman"/>
                <w:color w:val="auto"/>
                <w:sz w:val="24"/>
                <w:szCs w:val="24"/>
                <w:highlight w:val="none"/>
              </w:rPr>
              <w:t>，本次取</w:t>
            </w:r>
            <w:r>
              <w:rPr>
                <w:rFonts w:hint="default" w:ascii="Times New Roman" w:hAnsi="Times New Roman" w:cs="Times New Roman"/>
                <w:color w:val="auto"/>
                <w:sz w:val="24"/>
                <w:szCs w:val="24"/>
                <w:highlight w:val="none"/>
                <w:lang w:val="en-US" w:eastAsia="zh-CN"/>
              </w:rPr>
              <w:t>中间</w:t>
            </w:r>
            <w:r>
              <w:rPr>
                <w:rFonts w:hint="default" w:ascii="Times New Roman" w:hAnsi="Times New Roman" w:cs="Times New Roman"/>
                <w:color w:val="auto"/>
                <w:sz w:val="24"/>
                <w:szCs w:val="24"/>
                <w:highlight w:val="none"/>
              </w:rPr>
              <w:t>用水量</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eastAsia="zh-CN"/>
              </w:rPr>
              <w:t>升/天</w:t>
            </w:r>
            <w:r>
              <w:rPr>
                <w:rFonts w:hint="default" w:ascii="Times New Roman" w:hAnsi="Times New Roman" w:cs="Times New Roman"/>
                <w:color w:val="auto"/>
                <w:sz w:val="24"/>
                <w:szCs w:val="24"/>
                <w:highlight w:val="none"/>
              </w:rPr>
              <w:t>·人计算，</w:t>
            </w:r>
            <w:r>
              <w:rPr>
                <w:rFonts w:hint="default" w:ascii="Times New Roman" w:hAnsi="Times New Roman" w:cs="Times New Roman"/>
                <w:color w:val="auto"/>
                <w:kern w:val="0"/>
                <w:sz w:val="24"/>
                <w:szCs w:val="24"/>
                <w:highlight w:val="none"/>
                <w:lang w:bidi="ar"/>
              </w:rPr>
              <w:t>项目劳动定员</w:t>
            </w:r>
            <w:r>
              <w:rPr>
                <w:rFonts w:hint="default" w:ascii="Times New Roman" w:hAnsi="Times New Roman" w:cs="Times New Roman"/>
                <w:color w:val="auto"/>
                <w:kern w:val="0"/>
                <w:sz w:val="24"/>
                <w:szCs w:val="24"/>
                <w:highlight w:val="none"/>
                <w:lang w:val="en-US" w:eastAsia="zh-CN" w:bidi="ar"/>
              </w:rPr>
              <w:t>15</w:t>
            </w:r>
            <w:r>
              <w:rPr>
                <w:rFonts w:hint="default" w:ascii="Times New Roman" w:hAnsi="Times New Roman" w:cs="Times New Roman"/>
                <w:color w:val="auto"/>
                <w:kern w:val="0"/>
                <w:sz w:val="24"/>
                <w:szCs w:val="24"/>
                <w:highlight w:val="none"/>
                <w:lang w:bidi="ar"/>
              </w:rPr>
              <w:t>人，</w:t>
            </w:r>
            <w:r>
              <w:rPr>
                <w:rFonts w:hint="default" w:ascii="Times New Roman" w:hAnsi="Times New Roman" w:cs="Times New Roman"/>
                <w:color w:val="auto"/>
                <w:kern w:val="0"/>
                <w:sz w:val="24"/>
                <w:szCs w:val="24"/>
                <w:highlight w:val="none"/>
                <w:lang w:val="en-US" w:eastAsia="zh-CN" w:bidi="ar"/>
              </w:rPr>
              <w:t>本项目全年生产60d，则</w:t>
            </w:r>
            <w:r>
              <w:rPr>
                <w:rFonts w:hint="default" w:ascii="Times New Roman" w:hAnsi="Times New Roman" w:cs="Times New Roman"/>
                <w:color w:val="auto"/>
                <w:kern w:val="0"/>
                <w:sz w:val="24"/>
                <w:szCs w:val="24"/>
                <w:highlight w:val="none"/>
                <w:lang w:bidi="ar"/>
              </w:rPr>
              <w:t>生活用水量为</w:t>
            </w:r>
            <w:r>
              <w:rPr>
                <w:rFonts w:hint="default" w:ascii="Times New Roman" w:hAnsi="Times New Roman" w:cs="Times New Roman"/>
                <w:color w:val="auto"/>
                <w:kern w:val="0"/>
                <w:sz w:val="24"/>
                <w:szCs w:val="24"/>
                <w:highlight w:val="none"/>
                <w:lang w:val="en-US" w:eastAsia="zh-CN" w:bidi="ar"/>
              </w:rPr>
              <w:t>22.5</w:t>
            </w:r>
            <w:r>
              <w:rPr>
                <w:rFonts w:hint="default" w:ascii="Times New Roman" w:hAnsi="Times New Roman" w:cs="Times New Roman"/>
                <w:color w:val="auto"/>
                <w:kern w:val="0"/>
                <w:sz w:val="24"/>
                <w:szCs w:val="24"/>
                <w:highlight w:val="none"/>
                <w:lang w:bidi="ar"/>
              </w:rPr>
              <w:t>m</w:t>
            </w:r>
            <w:r>
              <w:rPr>
                <w:rFonts w:hint="default" w:ascii="Times New Roman" w:hAnsi="Times New Roman" w:cs="Times New Roman"/>
                <w:color w:val="auto"/>
                <w:kern w:val="0"/>
                <w:sz w:val="24"/>
                <w:szCs w:val="24"/>
                <w:highlight w:val="none"/>
                <w:vertAlign w:val="superscript"/>
                <w:lang w:bidi="ar"/>
              </w:rPr>
              <w:t>3</w:t>
            </w:r>
            <w:r>
              <w:rPr>
                <w:rFonts w:hint="default" w:ascii="Times New Roman" w:hAnsi="Times New Roman" w:cs="Times New Roman"/>
                <w:color w:val="auto"/>
                <w:kern w:val="0"/>
                <w:sz w:val="24"/>
                <w:szCs w:val="24"/>
                <w:highlight w:val="none"/>
                <w:lang w:bidi="ar"/>
              </w:rPr>
              <w:t>/a</w:t>
            </w:r>
            <w:r>
              <w:rPr>
                <w:rFonts w:hint="default" w:ascii="Times New Roman" w:hAnsi="Times New Roman" w:eastAsia="宋体" w:cs="Times New Roman"/>
                <w:color w:val="auto"/>
                <w:spacing w:val="2"/>
                <w:sz w:val="24"/>
                <w:szCs w:val="24"/>
                <w:highlight w:val="none"/>
              </w:rPr>
              <w:t>。污水排放量为用水量的80%</w:t>
            </w:r>
            <w:r>
              <w:rPr>
                <w:rFonts w:hint="default" w:ascii="Times New Roman" w:hAnsi="Times New Roman"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生活污水排放量为</w:t>
            </w:r>
            <w:r>
              <w:rPr>
                <w:rFonts w:hint="default" w:ascii="Times New Roman" w:hAnsi="Times New Roman" w:cs="Times New Roman"/>
                <w:color w:val="auto"/>
                <w:sz w:val="24"/>
                <w:highlight w:val="none"/>
                <w:lang w:val="en-US" w:eastAsia="zh-CN"/>
              </w:rPr>
              <w:t>18m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/a。</w:t>
            </w:r>
          </w:p>
          <w:p w14:paraId="6C8510E4">
            <w:pPr>
              <w:spacing w:line="360" w:lineRule="auto"/>
              <w:ind w:firstLine="480" w:firstLineChars="200"/>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（2）生产用水</w:t>
            </w:r>
          </w:p>
          <w:p w14:paraId="01F7E21B">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本项目生产用水为</w:t>
            </w:r>
            <w:r>
              <w:rPr>
                <w:rFonts w:hint="eastAsia" w:ascii="Times New Roman" w:hAnsi="Times New Roman" w:cs="Times New Roman"/>
                <w:color w:val="auto"/>
                <w:sz w:val="24"/>
                <w:szCs w:val="24"/>
                <w:highlight w:val="none"/>
                <w:lang w:val="en-US" w:eastAsia="zh-CN"/>
              </w:rPr>
              <w:t>热风炉</w:t>
            </w:r>
            <w:r>
              <w:rPr>
                <w:rFonts w:hint="default" w:ascii="Times New Roman" w:hAnsi="Times New Roman" w:cs="Times New Roman"/>
                <w:color w:val="auto"/>
                <w:sz w:val="24"/>
                <w:szCs w:val="24"/>
                <w:highlight w:val="none"/>
              </w:rPr>
              <w:t>炉渣降温水、脱硫用水，根据建设单位提供资料，这部分用水量为5</w:t>
            </w:r>
            <w:r>
              <w:rPr>
                <w:rFonts w:hint="default" w:ascii="Times New Roman" w:hAnsi="Times New Roman"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szCs w:val="24"/>
                <w:highlight w:val="none"/>
              </w:rPr>
              <w:t>/d（</w:t>
            </w:r>
            <w:r>
              <w:rPr>
                <w:rFonts w:hint="default" w:ascii="Times New Roman" w:hAnsi="Times New Roman" w:cs="Times New Roman"/>
                <w:color w:val="auto"/>
                <w:sz w:val="24"/>
                <w:szCs w:val="24"/>
                <w:highlight w:val="none"/>
                <w:lang w:val="en-US" w:eastAsia="zh-CN"/>
              </w:rPr>
              <w:t>300</w:t>
            </w:r>
            <w:r>
              <w:rPr>
                <w:rFonts w:hint="default" w:ascii="Times New Roman" w:hAnsi="Times New Roman"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szCs w:val="24"/>
                <w:highlight w:val="none"/>
              </w:rPr>
              <w:t>/a）。脱硫废水经沉淀池沉淀后全部回用，灰渣池冷却用水全部混入灰渣内外售，实际生产过程中不排放生产废水。</w:t>
            </w:r>
          </w:p>
          <w:p w14:paraId="7F285385">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kern w:val="0"/>
                <w:sz w:val="21"/>
                <w:szCs w:val="21"/>
                <w:highlight w:val="none"/>
                <w:lang w:bidi="ar"/>
              </w:rPr>
              <w:t>表2-</w:t>
            </w:r>
            <w:r>
              <w:rPr>
                <w:rFonts w:hint="eastAsia" w:ascii="Times New Roman" w:hAnsi="Times New Roman" w:cs="Times New Roman"/>
                <w:b/>
                <w:color w:val="auto"/>
                <w:kern w:val="0"/>
                <w:sz w:val="21"/>
                <w:szCs w:val="21"/>
                <w:highlight w:val="none"/>
                <w:lang w:val="en-US" w:eastAsia="zh-CN" w:bidi="ar"/>
              </w:rPr>
              <w:t>8</w:t>
            </w:r>
            <w:r>
              <w:rPr>
                <w:rFonts w:hint="default" w:ascii="Times New Roman" w:hAnsi="Times New Roman" w:cs="Times New Roman"/>
                <w:b/>
                <w:color w:val="auto"/>
                <w:kern w:val="0"/>
                <w:sz w:val="21"/>
                <w:szCs w:val="21"/>
                <w:highlight w:val="none"/>
                <w:lang w:bidi="ar"/>
              </w:rPr>
              <w:t xml:space="preserve">    本项目给排水一览表 m</w:t>
            </w:r>
            <w:r>
              <w:rPr>
                <w:rFonts w:hint="default" w:ascii="Times New Roman" w:hAnsi="Times New Roman" w:cs="Times New Roman"/>
                <w:b/>
                <w:color w:val="auto"/>
                <w:kern w:val="0"/>
                <w:sz w:val="21"/>
                <w:szCs w:val="21"/>
                <w:highlight w:val="none"/>
                <w:vertAlign w:val="superscript"/>
                <w:lang w:bidi="ar"/>
              </w:rPr>
              <w:t>3</w:t>
            </w:r>
            <w:r>
              <w:rPr>
                <w:rFonts w:hint="default" w:ascii="Times New Roman" w:hAnsi="Times New Roman" w:cs="Times New Roman"/>
                <w:b/>
                <w:color w:val="auto"/>
                <w:kern w:val="0"/>
                <w:sz w:val="21"/>
                <w:szCs w:val="21"/>
                <w:highlight w:val="none"/>
                <w:lang w:bidi="ar"/>
              </w:rPr>
              <w:t>/a</w:t>
            </w:r>
          </w:p>
          <w:tbl>
            <w:tblPr>
              <w:tblStyle w:val="19"/>
              <w:tblW w:w="0" w:type="auto"/>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200"/>
              <w:gridCol w:w="1184"/>
              <w:gridCol w:w="1149"/>
              <w:gridCol w:w="3036"/>
            </w:tblGrid>
            <w:tr w14:paraId="656E9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restart"/>
                  <w:noWrap w:val="0"/>
                  <w:vAlign w:val="center"/>
                </w:tcPr>
                <w:p w14:paraId="39B77091">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用水项目</w:t>
                  </w:r>
                </w:p>
              </w:tc>
              <w:tc>
                <w:tcPr>
                  <w:tcW w:w="1200" w:type="dxa"/>
                  <w:noWrap w:val="0"/>
                  <w:vAlign w:val="center"/>
                </w:tcPr>
                <w:p w14:paraId="78D5E1CA">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用水</w:t>
                  </w:r>
                </w:p>
              </w:tc>
              <w:tc>
                <w:tcPr>
                  <w:tcW w:w="2334" w:type="dxa"/>
                  <w:gridSpan w:val="2"/>
                  <w:noWrap w:val="0"/>
                  <w:vAlign w:val="center"/>
                </w:tcPr>
                <w:p w14:paraId="2BA20B4E">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排水</w:t>
                  </w:r>
                </w:p>
              </w:tc>
              <w:tc>
                <w:tcPr>
                  <w:tcW w:w="3039" w:type="dxa"/>
                  <w:vMerge w:val="restart"/>
                  <w:noWrap w:val="0"/>
                  <w:vAlign w:val="center"/>
                </w:tcPr>
                <w:p w14:paraId="44B9F8D4">
                  <w:pPr>
                    <w:adjustRightInd w:val="0"/>
                    <w:snapToGrid w:val="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kern w:val="0"/>
                      <w:sz w:val="21"/>
                      <w:szCs w:val="21"/>
                      <w:highlight w:val="none"/>
                      <w:lang w:val="en-US" w:eastAsia="zh-CN" w:bidi="ar"/>
                    </w:rPr>
                    <w:t>备注</w:t>
                  </w:r>
                </w:p>
              </w:tc>
            </w:tr>
            <w:tr w14:paraId="6AD7E5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continue"/>
                  <w:noWrap w:val="0"/>
                  <w:vAlign w:val="center"/>
                </w:tcPr>
                <w:p w14:paraId="3FD67637">
                  <w:pPr>
                    <w:adjustRightInd w:val="0"/>
                    <w:snapToGrid w:val="0"/>
                    <w:jc w:val="center"/>
                    <w:rPr>
                      <w:rFonts w:hint="default" w:ascii="Times New Roman" w:hAnsi="Times New Roman" w:cs="Times New Roman"/>
                      <w:bCs/>
                      <w:color w:val="auto"/>
                      <w:kern w:val="0"/>
                      <w:sz w:val="21"/>
                      <w:szCs w:val="21"/>
                      <w:highlight w:val="none"/>
                      <w:lang w:bidi="ar"/>
                    </w:rPr>
                  </w:pPr>
                </w:p>
              </w:tc>
              <w:tc>
                <w:tcPr>
                  <w:tcW w:w="1200" w:type="dxa"/>
                  <w:noWrap w:val="0"/>
                  <w:vAlign w:val="center"/>
                </w:tcPr>
                <w:p w14:paraId="12C9EDE9">
                  <w:pPr>
                    <w:adjustRightInd w:val="0"/>
                    <w:snapToGrid w:val="0"/>
                    <w:jc w:val="center"/>
                    <w:rPr>
                      <w:rFonts w:hint="default" w:ascii="Times New Roman" w:hAnsi="Times New Roman" w:cs="Times New Roman"/>
                      <w:bCs/>
                      <w:color w:val="auto"/>
                      <w:kern w:val="0"/>
                      <w:sz w:val="21"/>
                      <w:szCs w:val="21"/>
                      <w:highlight w:val="none"/>
                      <w:lang w:bidi="ar"/>
                    </w:rPr>
                  </w:pPr>
                  <w:r>
                    <w:rPr>
                      <w:rFonts w:hint="default" w:ascii="Times New Roman" w:hAnsi="Times New Roman" w:cs="Times New Roman"/>
                      <w:bCs/>
                      <w:color w:val="auto"/>
                      <w:kern w:val="0"/>
                      <w:sz w:val="21"/>
                      <w:szCs w:val="21"/>
                      <w:highlight w:val="none"/>
                      <w:lang w:bidi="ar"/>
                    </w:rPr>
                    <w:t>新鲜水</w:t>
                  </w:r>
                </w:p>
              </w:tc>
              <w:tc>
                <w:tcPr>
                  <w:tcW w:w="1184" w:type="dxa"/>
                  <w:noWrap w:val="0"/>
                  <w:vAlign w:val="center"/>
                </w:tcPr>
                <w:p w14:paraId="107BD5B9">
                  <w:pPr>
                    <w:adjustRightInd w:val="0"/>
                    <w:snapToGrid w:val="0"/>
                    <w:jc w:val="center"/>
                    <w:rPr>
                      <w:rFonts w:hint="default" w:ascii="Times New Roman" w:hAnsi="Times New Roman" w:cs="Times New Roman"/>
                      <w:bCs/>
                      <w:color w:val="auto"/>
                      <w:kern w:val="0"/>
                      <w:sz w:val="21"/>
                      <w:szCs w:val="21"/>
                      <w:highlight w:val="none"/>
                      <w:lang w:bidi="ar"/>
                    </w:rPr>
                  </w:pPr>
                  <w:r>
                    <w:rPr>
                      <w:rFonts w:hint="default" w:ascii="Times New Roman" w:hAnsi="Times New Roman" w:cs="Times New Roman"/>
                      <w:bCs/>
                      <w:color w:val="auto"/>
                      <w:kern w:val="0"/>
                      <w:sz w:val="21"/>
                      <w:szCs w:val="21"/>
                      <w:highlight w:val="none"/>
                      <w:lang w:bidi="ar"/>
                    </w:rPr>
                    <w:t>损耗水量</w:t>
                  </w:r>
                </w:p>
              </w:tc>
              <w:tc>
                <w:tcPr>
                  <w:tcW w:w="1150" w:type="dxa"/>
                  <w:noWrap w:val="0"/>
                  <w:vAlign w:val="center"/>
                </w:tcPr>
                <w:p w14:paraId="612B0F32">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排水量</w:t>
                  </w:r>
                </w:p>
              </w:tc>
              <w:tc>
                <w:tcPr>
                  <w:tcW w:w="3039" w:type="dxa"/>
                  <w:vMerge w:val="continue"/>
                  <w:noWrap w:val="0"/>
                  <w:vAlign w:val="center"/>
                </w:tcPr>
                <w:p w14:paraId="057CABAD">
                  <w:pPr>
                    <w:adjustRightInd w:val="0"/>
                    <w:snapToGrid w:val="0"/>
                    <w:jc w:val="center"/>
                    <w:rPr>
                      <w:rFonts w:hint="default" w:ascii="Times New Roman" w:hAnsi="Times New Roman" w:cs="Times New Roman"/>
                      <w:bCs/>
                      <w:color w:val="auto"/>
                      <w:sz w:val="21"/>
                      <w:szCs w:val="21"/>
                      <w:highlight w:val="none"/>
                    </w:rPr>
                  </w:pPr>
                </w:p>
              </w:tc>
            </w:tr>
            <w:tr w14:paraId="0F1E92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14:paraId="5756832C">
                  <w:pPr>
                    <w:widowControl/>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生活用水</w:t>
                  </w:r>
                </w:p>
              </w:tc>
              <w:tc>
                <w:tcPr>
                  <w:tcW w:w="1200" w:type="dxa"/>
                  <w:noWrap w:val="0"/>
                  <w:vAlign w:val="center"/>
                </w:tcPr>
                <w:p w14:paraId="0730DEF8">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bidi="ar"/>
                    </w:rPr>
                    <w:t>22.5</w:t>
                  </w:r>
                </w:p>
              </w:tc>
              <w:tc>
                <w:tcPr>
                  <w:tcW w:w="1184" w:type="dxa"/>
                  <w:noWrap w:val="0"/>
                  <w:vAlign w:val="center"/>
                </w:tcPr>
                <w:p w14:paraId="1DB3EC74">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4.5</w:t>
                  </w:r>
                </w:p>
              </w:tc>
              <w:tc>
                <w:tcPr>
                  <w:tcW w:w="1150" w:type="dxa"/>
                  <w:noWrap w:val="0"/>
                  <w:vAlign w:val="center"/>
                </w:tcPr>
                <w:p w14:paraId="1FF63C16">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18</w:t>
                  </w:r>
                </w:p>
              </w:tc>
              <w:tc>
                <w:tcPr>
                  <w:tcW w:w="3039" w:type="dxa"/>
                  <w:noWrap w:val="0"/>
                  <w:vAlign w:val="center"/>
                </w:tcPr>
                <w:p w14:paraId="6B6C2C66">
                  <w:pPr>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val="en-US" w:eastAsia="zh-CN" w:bidi="ar"/>
                    </w:rPr>
                    <w:t>经厂区化粪池收集后拉运</w:t>
                  </w:r>
                  <w:r>
                    <w:rPr>
                      <w:rFonts w:hint="default" w:ascii="Times New Roman" w:hAnsi="Times New Roman" w:cs="Times New Roman"/>
                      <w:bCs/>
                      <w:color w:val="auto"/>
                      <w:kern w:val="0"/>
                      <w:sz w:val="21"/>
                      <w:szCs w:val="21"/>
                      <w:highlight w:val="none"/>
                      <w:lang w:bidi="ar"/>
                    </w:rPr>
                    <w:t>处理</w:t>
                  </w:r>
                </w:p>
              </w:tc>
            </w:tr>
            <w:tr w14:paraId="7990D5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14:paraId="24ADA186">
                  <w:pPr>
                    <w:widowControl/>
                    <w:adjustRightInd w:val="0"/>
                    <w:snapToGrid w:val="0"/>
                    <w:jc w:val="center"/>
                    <w:rPr>
                      <w:rFonts w:hint="eastAsia"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生产用水</w:t>
                  </w:r>
                </w:p>
              </w:tc>
              <w:tc>
                <w:tcPr>
                  <w:tcW w:w="1200" w:type="dxa"/>
                  <w:noWrap w:val="0"/>
                  <w:vAlign w:val="center"/>
                </w:tcPr>
                <w:p w14:paraId="7A74C000">
                  <w:pPr>
                    <w:adjustRightInd w:val="0"/>
                    <w:snapToGrid w:val="0"/>
                    <w:jc w:val="center"/>
                    <w:rPr>
                      <w:rFonts w:hint="default" w:ascii="Times New Roman" w:hAnsi="Times New Roman"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300</w:t>
                  </w:r>
                </w:p>
              </w:tc>
              <w:tc>
                <w:tcPr>
                  <w:tcW w:w="1184" w:type="dxa"/>
                  <w:noWrap w:val="0"/>
                  <w:vAlign w:val="center"/>
                </w:tcPr>
                <w:p w14:paraId="3DC02BEA">
                  <w:pPr>
                    <w:adjustRightInd w:val="0"/>
                    <w:snapToGrid w:val="0"/>
                    <w:jc w:val="center"/>
                    <w:rPr>
                      <w:rFonts w:hint="default" w:ascii="Times New Roman" w:hAnsi="Times New Roman" w:cs="Times New Roman"/>
                      <w:bCs/>
                      <w:color w:val="auto"/>
                      <w:sz w:val="21"/>
                      <w:szCs w:val="21"/>
                      <w:highlight w:val="none"/>
                      <w:lang w:val="en-US" w:eastAsia="zh-CN"/>
                    </w:rPr>
                  </w:pPr>
                  <w:r>
                    <w:rPr>
                      <w:rFonts w:hint="eastAsia" w:cs="Times New Roman"/>
                      <w:bCs/>
                      <w:color w:val="auto"/>
                      <w:sz w:val="21"/>
                      <w:szCs w:val="21"/>
                      <w:highlight w:val="none"/>
                      <w:lang w:val="en-US" w:eastAsia="zh-CN"/>
                    </w:rPr>
                    <w:t>300</w:t>
                  </w:r>
                </w:p>
              </w:tc>
              <w:tc>
                <w:tcPr>
                  <w:tcW w:w="1150" w:type="dxa"/>
                  <w:noWrap w:val="0"/>
                  <w:vAlign w:val="center"/>
                </w:tcPr>
                <w:p w14:paraId="758527D3">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w:t>
                  </w:r>
                </w:p>
              </w:tc>
              <w:tc>
                <w:tcPr>
                  <w:tcW w:w="3039" w:type="dxa"/>
                  <w:noWrap w:val="0"/>
                  <w:vAlign w:val="center"/>
                </w:tcPr>
                <w:p w14:paraId="557C0239">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脱硫废水</w:t>
                  </w:r>
                  <w:r>
                    <w:rPr>
                      <w:rFonts w:hint="eastAsia" w:ascii="Times New Roman" w:hAnsi="Times New Roman" w:eastAsia="宋体" w:cs="Times New Roman"/>
                      <w:bCs/>
                      <w:color w:val="auto"/>
                      <w:sz w:val="21"/>
                      <w:szCs w:val="21"/>
                      <w:highlight w:val="none"/>
                      <w:lang w:val="en-US" w:eastAsia="zh-CN"/>
                    </w:rPr>
                    <w:t>经沉淀后回用</w:t>
                  </w:r>
                </w:p>
              </w:tc>
            </w:tr>
            <w:tr w14:paraId="76C673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14:paraId="1C424F7F">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合计</w:t>
                  </w:r>
                </w:p>
              </w:tc>
              <w:tc>
                <w:tcPr>
                  <w:tcW w:w="1200" w:type="dxa"/>
                  <w:shd w:val="clear" w:color="auto" w:fill="auto"/>
                  <w:noWrap w:val="0"/>
                  <w:vAlign w:val="center"/>
                </w:tcPr>
                <w:p w14:paraId="3C4D228D">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0"/>
                      <w:sz w:val="21"/>
                      <w:szCs w:val="21"/>
                      <w:highlight w:val="none"/>
                      <w:lang w:val="en-US" w:eastAsia="zh-CN" w:bidi="ar"/>
                    </w:rPr>
                    <w:t>3</w:t>
                  </w:r>
                  <w:r>
                    <w:rPr>
                      <w:rFonts w:hint="default" w:ascii="Times New Roman" w:hAnsi="Times New Roman" w:cs="Times New Roman"/>
                      <w:bCs/>
                      <w:color w:val="auto"/>
                      <w:kern w:val="0"/>
                      <w:sz w:val="21"/>
                      <w:szCs w:val="21"/>
                      <w:highlight w:val="none"/>
                      <w:lang w:val="en-US" w:eastAsia="zh-CN" w:bidi="ar"/>
                    </w:rPr>
                    <w:t>22.5</w:t>
                  </w:r>
                </w:p>
              </w:tc>
              <w:tc>
                <w:tcPr>
                  <w:tcW w:w="1184" w:type="dxa"/>
                  <w:shd w:val="clear" w:color="auto" w:fill="auto"/>
                  <w:noWrap w:val="0"/>
                  <w:vAlign w:val="center"/>
                </w:tcPr>
                <w:p w14:paraId="681739AD">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30</w:t>
                  </w:r>
                  <w:r>
                    <w:rPr>
                      <w:rFonts w:hint="default" w:ascii="Times New Roman" w:hAnsi="Times New Roman" w:cs="Times New Roman"/>
                      <w:bCs/>
                      <w:color w:val="auto"/>
                      <w:sz w:val="21"/>
                      <w:szCs w:val="21"/>
                      <w:highlight w:val="none"/>
                      <w:lang w:val="en-US" w:eastAsia="zh-CN"/>
                    </w:rPr>
                    <w:t>4.5</w:t>
                  </w:r>
                </w:p>
              </w:tc>
              <w:tc>
                <w:tcPr>
                  <w:tcW w:w="1150" w:type="dxa"/>
                  <w:shd w:val="clear" w:color="auto" w:fill="auto"/>
                  <w:noWrap w:val="0"/>
                  <w:vAlign w:val="center"/>
                </w:tcPr>
                <w:p w14:paraId="7992697B">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18</w:t>
                  </w:r>
                </w:p>
              </w:tc>
              <w:tc>
                <w:tcPr>
                  <w:tcW w:w="3039" w:type="dxa"/>
                  <w:noWrap w:val="0"/>
                  <w:vAlign w:val="center"/>
                </w:tcPr>
                <w:p w14:paraId="18925B42">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r>
          </w:tbl>
          <w:p w14:paraId="0B40C185">
            <w:pPr>
              <w:spacing w:line="360" w:lineRule="auto"/>
              <w:rPr>
                <w:rFonts w:hint="default" w:ascii="Times New Roman" w:hAnsi="Times New Roman" w:eastAsia="宋体" w:cs="Times New Roman"/>
                <w:b/>
                <w:bCs/>
                <w:snapToGrid w:val="0"/>
                <w:color w:val="auto"/>
                <w:kern w:val="0"/>
                <w:sz w:val="24"/>
                <w:highlight w:val="none"/>
                <w:lang w:val="en-US" w:eastAsia="zh-CN"/>
              </w:rPr>
            </w:pPr>
            <w:r>
              <w:rPr>
                <w:rFonts w:hint="default" w:ascii="Times New Roman" w:hAnsi="Times New Roman" w:cs="Times New Roman"/>
                <w:b/>
                <w:bCs/>
                <w:snapToGrid w:val="0"/>
                <w:color w:val="auto"/>
                <w:kern w:val="0"/>
                <w:sz w:val="24"/>
                <w:highlight w:val="none"/>
                <w:lang w:val="en-US" w:eastAsia="zh-CN"/>
              </w:rPr>
              <w:t>8、</w:t>
            </w:r>
            <w:r>
              <w:rPr>
                <w:rFonts w:hint="default" w:ascii="Times New Roman" w:hAnsi="Times New Roman" w:eastAsia="宋体" w:cs="Times New Roman"/>
                <w:b/>
                <w:bCs/>
                <w:snapToGrid w:val="0"/>
                <w:color w:val="auto"/>
                <w:kern w:val="0"/>
                <w:sz w:val="24"/>
                <w:highlight w:val="none"/>
                <w:lang w:val="en-US" w:eastAsia="zh-CN"/>
              </w:rPr>
              <w:t>劳动定员及工作制度</w:t>
            </w:r>
          </w:p>
          <w:p w14:paraId="22A762AC">
            <w:pPr>
              <w:spacing w:line="360" w:lineRule="auto"/>
              <w:ind w:firstLine="480" w:firstLineChars="200"/>
              <w:rPr>
                <w:rFonts w:hint="default" w:ascii="Times New Roman" w:hAnsi="Times New Roman" w:cs="Times New Roman"/>
                <w:color w:val="auto"/>
                <w:spacing w:val="1"/>
                <w:highlight w:val="none"/>
              </w:rPr>
            </w:pPr>
            <w:r>
              <w:rPr>
                <w:rFonts w:hint="default" w:ascii="Times New Roman" w:hAnsi="Times New Roman" w:cs="Times New Roman"/>
                <w:color w:val="auto"/>
                <w:sz w:val="24"/>
                <w:highlight w:val="none"/>
              </w:rPr>
              <w:t>本</w:t>
            </w:r>
            <w:r>
              <w:rPr>
                <w:rFonts w:hint="default" w:ascii="Times New Roman" w:hAnsi="Times New Roman" w:cs="Times New Roman"/>
                <w:color w:val="auto"/>
                <w:sz w:val="24"/>
                <w:highlight w:val="none"/>
                <w:lang w:val="en-US" w:eastAsia="zh-CN"/>
              </w:rPr>
              <w:t>项目额定</w:t>
            </w:r>
            <w:r>
              <w:rPr>
                <w:rFonts w:hint="default" w:ascii="Times New Roman" w:hAnsi="Times New Roman" w:cs="Times New Roman"/>
                <w:color w:val="auto"/>
                <w:sz w:val="24"/>
                <w:highlight w:val="none"/>
              </w:rPr>
              <w:t>工作人员</w:t>
            </w:r>
            <w:r>
              <w:rPr>
                <w:rFonts w:hint="default" w:ascii="Times New Roman" w:hAnsi="Times New Roman" w:cs="Times New Roman"/>
                <w:color w:val="auto"/>
                <w:sz w:val="24"/>
                <w:highlight w:val="none"/>
                <w:lang w:val="en-US" w:eastAsia="zh-CN"/>
              </w:rPr>
              <w:t>15人</w:t>
            </w:r>
            <w:r>
              <w:rPr>
                <w:rFonts w:hint="default" w:ascii="Times New Roman" w:hAnsi="Times New Roman" w:cs="Times New Roman"/>
                <w:color w:val="auto"/>
                <w:sz w:val="24"/>
                <w:highlight w:val="none"/>
              </w:rPr>
              <w:t>，全年共生产</w:t>
            </w:r>
            <w:r>
              <w:rPr>
                <w:rFonts w:hint="default" w:ascii="Times New Roman" w:hAnsi="Times New Roman" w:cs="Times New Roman"/>
                <w:color w:val="auto"/>
                <w:sz w:val="24"/>
                <w:highlight w:val="none"/>
                <w:lang w:val="en-US" w:eastAsia="zh-CN"/>
              </w:rPr>
              <w:t>60</w:t>
            </w:r>
            <w:r>
              <w:rPr>
                <w:rFonts w:hint="default" w:ascii="Times New Roman" w:hAnsi="Times New Roman" w:cs="Times New Roman"/>
                <w:color w:val="auto"/>
                <w:sz w:val="24"/>
                <w:highlight w:val="none"/>
              </w:rPr>
              <w:t>天</w:t>
            </w:r>
            <w:r>
              <w:rPr>
                <w:rFonts w:hint="default" w:ascii="Times New Roman" w:hAnsi="Times New Roman" w:cs="Times New Roman"/>
                <w:color w:val="auto"/>
                <w:sz w:val="24"/>
                <w:highlight w:val="none"/>
                <w:lang w:eastAsia="zh-CN"/>
              </w:rPr>
              <w:t>，年工作时段为9月</w:t>
            </w:r>
            <w:r>
              <w:rPr>
                <w:rFonts w:hint="default" w:ascii="Times New Roman" w:hAnsi="Times New Roman" w:cs="Times New Roman"/>
                <w:color w:val="auto"/>
                <w:sz w:val="24"/>
                <w:highlight w:val="none"/>
                <w:lang w:val="en-US" w:eastAsia="zh-CN"/>
              </w:rPr>
              <w:t>中旬</w:t>
            </w:r>
            <w:r>
              <w:rPr>
                <w:rFonts w:hint="default" w:ascii="Times New Roman" w:hAnsi="Times New Roman" w:cs="Times New Roman"/>
                <w:color w:val="auto"/>
                <w:sz w:val="24"/>
                <w:highlight w:val="none"/>
                <w:lang w:eastAsia="zh-CN"/>
              </w:rPr>
              <w:t>至11月</w:t>
            </w:r>
            <w:r>
              <w:rPr>
                <w:rFonts w:hint="default" w:ascii="Times New Roman" w:hAnsi="Times New Roman" w:cs="Times New Roman"/>
                <w:color w:val="auto"/>
                <w:sz w:val="24"/>
                <w:highlight w:val="none"/>
                <w:lang w:val="en-US" w:eastAsia="zh-CN"/>
              </w:rPr>
              <w:t>中旬</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实行两班制，每班</w:t>
            </w:r>
            <w:r>
              <w:rPr>
                <w:rFonts w:hint="default"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h</w:t>
            </w:r>
            <w:r>
              <w:rPr>
                <w:rFonts w:hint="default" w:ascii="Times New Roman" w:hAnsi="Times New Roman" w:cs="Times New Roman"/>
                <w:color w:val="auto"/>
                <w:spacing w:val="1"/>
                <w:highlight w:val="none"/>
              </w:rPr>
              <w:t>。</w:t>
            </w:r>
          </w:p>
          <w:p w14:paraId="430D69A5">
            <w:pPr>
              <w:spacing w:line="360" w:lineRule="auto"/>
              <w:ind w:firstLine="424" w:firstLineChars="200"/>
              <w:rPr>
                <w:rFonts w:hint="default" w:ascii="Times New Roman" w:hAnsi="Times New Roman" w:cs="Times New Roman"/>
                <w:color w:val="auto"/>
                <w:spacing w:val="1"/>
                <w:highlight w:val="none"/>
              </w:rPr>
            </w:pPr>
          </w:p>
          <w:p w14:paraId="2C9FB2D7">
            <w:pPr>
              <w:spacing w:line="360" w:lineRule="auto"/>
              <w:ind w:firstLine="424" w:firstLineChars="200"/>
              <w:rPr>
                <w:rFonts w:hint="default" w:ascii="Times New Roman" w:hAnsi="Times New Roman" w:cs="Times New Roman"/>
                <w:color w:val="auto"/>
                <w:spacing w:val="1"/>
                <w:highlight w:val="none"/>
              </w:rPr>
            </w:pPr>
          </w:p>
          <w:p w14:paraId="5F4E7C44">
            <w:pPr>
              <w:spacing w:line="360" w:lineRule="auto"/>
              <w:ind w:firstLine="424" w:firstLineChars="200"/>
              <w:rPr>
                <w:rFonts w:hint="default" w:ascii="Times New Roman" w:hAnsi="Times New Roman" w:cs="Times New Roman"/>
                <w:color w:val="auto"/>
                <w:spacing w:val="1"/>
                <w:highlight w:val="none"/>
              </w:rPr>
            </w:pPr>
          </w:p>
          <w:p w14:paraId="7B7820A1">
            <w:pPr>
              <w:spacing w:line="360" w:lineRule="auto"/>
              <w:ind w:firstLine="424" w:firstLineChars="200"/>
              <w:rPr>
                <w:rFonts w:hint="default" w:ascii="Times New Roman" w:hAnsi="Times New Roman" w:cs="Times New Roman"/>
                <w:color w:val="auto"/>
                <w:spacing w:val="1"/>
                <w:highlight w:val="none"/>
              </w:rPr>
            </w:pPr>
          </w:p>
        </w:tc>
      </w:tr>
      <w:tr w14:paraId="37A4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708" w:type="dxa"/>
            <w:noWrap w:val="0"/>
            <w:vAlign w:val="center"/>
          </w:tcPr>
          <w:p w14:paraId="05FCBBD9">
            <w:pPr>
              <w:pStyle w:val="18"/>
              <w:adjustRightInd w:val="0"/>
              <w:snapToGrid w:val="0"/>
              <w:spacing w:before="0" w:beforeAutospacing="0" w:after="0" w:afterAutospacing="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工艺流程和产排污环节</w:t>
            </w:r>
          </w:p>
        </w:tc>
        <w:tc>
          <w:tcPr>
            <w:tcW w:w="8352" w:type="dxa"/>
            <w:noWrap w:val="0"/>
            <w:vAlign w:val="top"/>
          </w:tcPr>
          <w:p w14:paraId="2F5CB371">
            <w:pPr>
              <w:numPr>
                <w:ilvl w:val="0"/>
                <w:numId w:val="0"/>
              </w:numPr>
              <w:adjustRightInd w:val="0"/>
              <w:snapToGrid w:val="0"/>
              <w:spacing w:line="360" w:lineRule="auto"/>
              <w:rPr>
                <w:rFonts w:hint="default" w:ascii="Times New Roman" w:hAnsi="Times New Roman" w:eastAsia="宋体" w:cs="Times New Roman"/>
                <w:b/>
                <w:bCs/>
                <w:color w:val="auto"/>
                <w:kern w:val="2"/>
                <w:sz w:val="24"/>
                <w:szCs w:val="32"/>
                <w:highlight w:val="none"/>
                <w:lang w:val="en-US" w:eastAsia="zh-CN" w:bidi="ar-SA"/>
              </w:rPr>
            </w:pPr>
            <w:r>
              <w:rPr>
                <w:rFonts w:hint="default" w:ascii="Times New Roman" w:hAnsi="Times New Roman" w:eastAsia="宋体" w:cs="Times New Roman"/>
                <w:b/>
                <w:bCs/>
                <w:color w:val="auto"/>
                <w:kern w:val="2"/>
                <w:sz w:val="24"/>
                <w:szCs w:val="32"/>
                <w:highlight w:val="none"/>
                <w:lang w:val="en-US" w:eastAsia="zh-CN" w:bidi="ar-SA"/>
              </w:rPr>
              <w:t>1</w:t>
            </w:r>
            <w:r>
              <w:rPr>
                <w:rFonts w:hint="default" w:ascii="Times New Roman" w:hAnsi="Times New Roman" w:cs="Times New Roman"/>
                <w:b/>
                <w:bCs/>
                <w:color w:val="auto"/>
                <w:kern w:val="2"/>
                <w:sz w:val="24"/>
                <w:szCs w:val="32"/>
                <w:highlight w:val="none"/>
                <w:lang w:val="en-US" w:eastAsia="zh-CN" w:bidi="ar-SA"/>
              </w:rPr>
              <w:t>、</w:t>
            </w:r>
            <w:r>
              <w:rPr>
                <w:rFonts w:hint="default" w:ascii="Times New Roman" w:hAnsi="Times New Roman" w:eastAsia="宋体" w:cs="Times New Roman"/>
                <w:b/>
                <w:bCs/>
                <w:color w:val="auto"/>
                <w:kern w:val="2"/>
                <w:sz w:val="24"/>
                <w:szCs w:val="32"/>
                <w:highlight w:val="none"/>
                <w:lang w:val="en-US" w:eastAsia="zh-CN" w:bidi="ar-SA"/>
              </w:rPr>
              <w:t>施工期</w:t>
            </w:r>
          </w:p>
          <w:p w14:paraId="34E0CBAA">
            <w:pPr>
              <w:pStyle w:val="31"/>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kern w:val="2"/>
                <w:sz w:val="24"/>
                <w:szCs w:val="32"/>
                <w:highlight w:val="none"/>
                <w:lang w:val="en-US" w:eastAsia="zh-CN" w:bidi="ar-SA"/>
              </w:rPr>
            </w:pPr>
            <w:r>
              <w:rPr>
                <w:rFonts w:hint="default" w:ascii="Times New Roman" w:hAnsi="Times New Roman" w:cs="Times New Roman"/>
                <w:color w:val="auto"/>
                <w:sz w:val="24"/>
                <w:highlight w:val="none"/>
              </w:rPr>
              <w:t>根据现场勘查，</w:t>
            </w:r>
            <w:r>
              <w:rPr>
                <w:rFonts w:hint="default" w:ascii="Times New Roman" w:hAnsi="Times New Roman" w:cs="Times New Roman"/>
                <w:color w:val="auto"/>
                <w:sz w:val="24"/>
                <w:highlight w:val="none"/>
                <w:lang w:val="en-US" w:eastAsia="zh-CN"/>
              </w:rPr>
              <w:t>本项目主体工程及配套设施已建成，但尚未投产，</w:t>
            </w:r>
            <w:r>
              <w:rPr>
                <w:rFonts w:hint="default" w:ascii="Times New Roman" w:hAnsi="Times New Roman" w:cs="Times New Roman"/>
                <w:color w:val="auto"/>
                <w:sz w:val="24"/>
                <w:highlight w:val="none"/>
              </w:rPr>
              <w:t>故本次环评不对施工期进行详细分析</w:t>
            </w:r>
            <w:r>
              <w:rPr>
                <w:rFonts w:hint="default" w:ascii="Times New Roman" w:hAnsi="Times New Roman" w:eastAsia="宋体" w:cs="Times New Roman"/>
                <w:color w:val="auto"/>
                <w:kern w:val="2"/>
                <w:sz w:val="24"/>
                <w:szCs w:val="32"/>
                <w:highlight w:val="none"/>
                <w:lang w:val="en-US" w:eastAsia="zh-CN" w:bidi="ar-SA"/>
              </w:rPr>
              <w:t>。</w:t>
            </w:r>
          </w:p>
          <w:p w14:paraId="28EA1424">
            <w:pPr>
              <w:adjustRightInd w:val="0"/>
              <w:snapToGrid w:val="0"/>
              <w:spacing w:line="360" w:lineRule="auto"/>
              <w:rPr>
                <w:rFonts w:hint="default" w:ascii="Times New Roman" w:hAnsi="Times New Roman" w:cs="Times New Roman"/>
                <w:b/>
                <w:bCs/>
                <w:color w:val="auto"/>
                <w:sz w:val="24"/>
                <w:szCs w:val="32"/>
                <w:highlight w:val="none"/>
              </w:rPr>
            </w:pPr>
            <w:r>
              <w:rPr>
                <w:rFonts w:hint="default" w:ascii="Times New Roman" w:hAnsi="Times New Roman" w:cs="Times New Roman"/>
                <w:b/>
                <w:bCs/>
                <w:color w:val="auto"/>
                <w:sz w:val="24"/>
                <w:szCs w:val="32"/>
                <w:highlight w:val="none"/>
              </w:rPr>
              <w:t>2</w:t>
            </w:r>
            <w:r>
              <w:rPr>
                <w:rFonts w:hint="default" w:ascii="Times New Roman" w:hAnsi="Times New Roman" w:cs="Times New Roman"/>
                <w:b/>
                <w:bCs/>
                <w:color w:val="auto"/>
                <w:sz w:val="24"/>
                <w:szCs w:val="32"/>
                <w:highlight w:val="none"/>
                <w:lang w:val="en-US" w:eastAsia="zh-CN"/>
              </w:rPr>
              <w:t>、</w:t>
            </w:r>
            <w:r>
              <w:rPr>
                <w:rFonts w:hint="default" w:ascii="Times New Roman" w:hAnsi="Times New Roman" w:cs="Times New Roman"/>
                <w:b/>
                <w:bCs/>
                <w:color w:val="auto"/>
                <w:sz w:val="24"/>
                <w:szCs w:val="32"/>
                <w:highlight w:val="none"/>
              </w:rPr>
              <w:t>运营期</w:t>
            </w:r>
          </w:p>
          <w:p w14:paraId="5E914534">
            <w:pPr>
              <w:pStyle w:val="6"/>
              <w:keepNext w:val="0"/>
              <w:keepLines w:val="0"/>
              <w:spacing w:before="0" w:beforeLines="0" w:after="0" w:afterLines="0"/>
              <w:ind w:firstLine="0" w:firstLineChars="0"/>
              <w:jc w:val="both"/>
              <w:rPr>
                <w:rFonts w:hint="default" w:ascii="Times New Roman" w:hAnsi="Times New Roman" w:eastAsia="宋体" w:cs="Times New Roman"/>
                <w:b/>
                <w:color w:val="auto"/>
                <w:sz w:val="24"/>
                <w:szCs w:val="24"/>
                <w:highlight w:val="none"/>
              </w:rPr>
            </w:pPr>
            <w:bookmarkStart w:id="9" w:name="_Toc26691"/>
            <w:r>
              <w:rPr>
                <w:rFonts w:hint="default" w:ascii="Times New Roman" w:hAnsi="Times New Roman" w:eastAsia="宋体" w:cs="Times New Roman"/>
                <w:b/>
                <w:color w:val="auto"/>
                <w:sz w:val="24"/>
                <w:szCs w:val="24"/>
                <w:highlight w:val="none"/>
              </w:rPr>
              <w:t>2.1工艺流程</w:t>
            </w:r>
            <w:bookmarkEnd w:id="9"/>
          </w:p>
          <w:p w14:paraId="45BC9DD3">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color w:val="auto"/>
                <w:highlight w:val="none"/>
              </w:rPr>
              <w:drawing>
                <wp:inline distT="0" distB="0" distL="114300" distR="114300">
                  <wp:extent cx="4913630" cy="1896110"/>
                  <wp:effectExtent l="9525" t="9525" r="10795" b="18415"/>
                  <wp:docPr id="11" name="图片 13"/>
                  <wp:cNvGraphicFramePr/>
                  <a:graphic xmlns:a="http://schemas.openxmlformats.org/drawingml/2006/main">
                    <a:graphicData uri="http://schemas.openxmlformats.org/drawingml/2006/picture">
                      <pic:pic xmlns:pic="http://schemas.openxmlformats.org/drawingml/2006/picture">
                        <pic:nvPicPr>
                          <pic:cNvPr id="11" name="图片 13"/>
                          <pic:cNvPicPr/>
                        </pic:nvPicPr>
                        <pic:blipFill>
                          <a:blip r:embed="rId11"/>
                          <a:stretch>
                            <a:fillRect/>
                          </a:stretch>
                        </pic:blipFill>
                        <pic:spPr>
                          <a:xfrm>
                            <a:off x="0" y="0"/>
                            <a:ext cx="4913630" cy="1896110"/>
                          </a:xfrm>
                          <a:prstGeom prst="rect">
                            <a:avLst/>
                          </a:prstGeom>
                          <a:noFill/>
                          <a:ln>
                            <a:solidFill>
                              <a:schemeClr val="tx1"/>
                            </a:solidFill>
                          </a:ln>
                        </pic:spPr>
                      </pic:pic>
                    </a:graphicData>
                  </a:graphic>
                </wp:inline>
              </w:drawing>
            </w:r>
            <w:r>
              <w:rPr>
                <w:rFonts w:hint="default" w:ascii="Times New Roman" w:hAnsi="Times New Roman" w:cs="Times New Roman"/>
                <w:b/>
                <w:color w:val="auto"/>
                <w:sz w:val="24"/>
                <w:highlight w:val="none"/>
              </w:rPr>
              <w:t>图</w:t>
            </w: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 xml:space="preserve">    生产工艺流程及产污环节图</w:t>
            </w:r>
          </w:p>
          <w:p w14:paraId="3AFE979D">
            <w:pPr>
              <w:pStyle w:val="6"/>
              <w:keepNext w:val="0"/>
              <w:keepLines w:val="0"/>
              <w:spacing w:before="0" w:beforeLines="0" w:after="0" w:afterLines="0"/>
              <w:ind w:firstLine="0" w:firstLineChars="0"/>
              <w:jc w:val="both"/>
              <w:rPr>
                <w:rFonts w:hint="default" w:ascii="Times New Roman" w:hAnsi="Times New Roman" w:eastAsia="宋体" w:cs="Times New Roman"/>
                <w:b/>
                <w:color w:val="auto"/>
                <w:sz w:val="24"/>
                <w:szCs w:val="24"/>
                <w:highlight w:val="none"/>
                <w:lang w:val="en-US" w:eastAsia="zh-CN"/>
              </w:rPr>
            </w:pPr>
            <w:bookmarkStart w:id="10" w:name="_Toc9474"/>
            <w:r>
              <w:rPr>
                <w:rFonts w:hint="default" w:ascii="Times New Roman" w:hAnsi="Times New Roman" w:eastAsia="宋体" w:cs="Times New Roman"/>
                <w:b/>
                <w:color w:val="auto"/>
                <w:sz w:val="24"/>
                <w:szCs w:val="24"/>
                <w:highlight w:val="none"/>
              </w:rPr>
              <w:t>2.2</w:t>
            </w:r>
            <w:r>
              <w:rPr>
                <w:rFonts w:hint="default" w:ascii="Times New Roman" w:hAnsi="Times New Roman" w:eastAsia="宋体" w:cs="Times New Roman"/>
                <w:b/>
                <w:color w:val="auto"/>
                <w:sz w:val="24"/>
                <w:szCs w:val="24"/>
                <w:highlight w:val="none"/>
                <w:lang w:val="en-US" w:eastAsia="zh-CN"/>
              </w:rPr>
              <w:t>工艺流程介绍</w:t>
            </w:r>
          </w:p>
          <w:p w14:paraId="3D915B4B">
            <w:pPr>
              <w:pStyle w:val="42"/>
              <w:numPr>
                <w:ilvl w:val="0"/>
                <w:numId w:val="0"/>
              </w:numPr>
              <w:spacing w:line="360" w:lineRule="auto"/>
              <w:ind w:leftChars="0"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32"/>
                <w:highlight w:val="none"/>
                <w:lang w:val="en-US" w:eastAsia="zh-CN" w:bidi="ar-SA"/>
              </w:rPr>
              <w:t>集运送来的或农户拉运的玉米粒经计量直接进入场区卸粮口，湿玉米经过提升机送到滚筒筛（湿式），经筛选后合格原料由提升机送至烘前仓，玉米再经烘前仓由提升机进入烘干塔烘干；热风炉炉内温度上升至500℃左右时，炉中热风管中空气被加热出口温度将达到120℃-130℃形成高温热风，高温热风在电动机的作用下被吸入热风机，将热风提供给烘干塔内的烘前仓进行一次烘干，在顺、逆流烘干段中，高温热风与高水分、低温的玉米进行热交换，使玉米籽粒快速升温继而水分蒸发，烘干后的粮食经过一段时间的缓苏，使其内部的水分向外部转移，再进行二次烘干，去除剩余水分，当玉米经过多次干燥、缓苏达到安全储藏水分后，进入顺逆流冷却段冷却，经冷却后，由排粮段排出机外，由提升机送入滚筒筛（干式），玉米经滚筒筛清选后将合格产品由提升机送至成品库</w:t>
            </w:r>
            <w:r>
              <w:rPr>
                <w:rFonts w:hint="default" w:ascii="Times New Roman" w:hAnsi="Times New Roman" w:cs="Times New Roman"/>
                <w:color w:val="auto"/>
                <w:sz w:val="24"/>
                <w:szCs w:val="24"/>
                <w:highlight w:val="none"/>
              </w:rPr>
              <w:t>。</w:t>
            </w:r>
          </w:p>
          <w:p w14:paraId="55008F13">
            <w:pPr>
              <w:pStyle w:val="42"/>
              <w:numPr>
                <w:ilvl w:val="0"/>
                <w:numId w:val="0"/>
              </w:numPr>
              <w:spacing w:line="360" w:lineRule="auto"/>
              <w:ind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highlight w:val="none"/>
              </w:rPr>
              <w:t>本项目选用的链条式</w:t>
            </w:r>
            <w:r>
              <w:rPr>
                <w:rFonts w:hint="default" w:ascii="Times New Roman" w:hAnsi="Times New Roman" w:cs="Times New Roman"/>
                <w:bCs/>
                <w:color w:val="auto"/>
                <w:sz w:val="24"/>
                <w:highlight w:val="none"/>
                <w:lang w:val="en-US" w:eastAsia="zh-CN"/>
              </w:rPr>
              <w:t>生物质</w:t>
            </w:r>
            <w:r>
              <w:rPr>
                <w:rFonts w:hint="default" w:ascii="Times New Roman" w:hAnsi="Times New Roman" w:cs="Times New Roman"/>
                <w:bCs/>
                <w:color w:val="auto"/>
                <w:sz w:val="24"/>
                <w:highlight w:val="none"/>
              </w:rPr>
              <w:t>热风炉，</w:t>
            </w:r>
            <w:r>
              <w:rPr>
                <w:rFonts w:hint="default" w:ascii="Times New Roman" w:hAnsi="Times New Roman" w:cs="Times New Roman"/>
                <w:bCs/>
                <w:color w:val="auto"/>
                <w:sz w:val="24"/>
                <w:highlight w:val="none"/>
                <w:lang w:val="en-US" w:eastAsia="zh-CN"/>
              </w:rPr>
              <w:t>生物质</w:t>
            </w:r>
            <w:r>
              <w:rPr>
                <w:rFonts w:hint="default" w:ascii="Times New Roman" w:hAnsi="Times New Roman" w:cs="Times New Roman"/>
                <w:bCs/>
                <w:color w:val="auto"/>
                <w:sz w:val="24"/>
                <w:highlight w:val="none"/>
              </w:rPr>
              <w:t>在炉膛内燃烧，加热换热器，通过送风系统将送来的空气进行加热，加热的热风进入烘干塔烘干玉米。炉渣进入炉渣池降温润湿</w:t>
            </w:r>
            <w:r>
              <w:rPr>
                <w:rFonts w:hint="default" w:ascii="Times New Roman" w:hAnsi="Times New Roman" w:cs="Times New Roman"/>
                <w:bCs/>
                <w:color w:val="auto"/>
                <w:sz w:val="24"/>
                <w:highlight w:val="none"/>
                <w:lang w:val="en-US" w:eastAsia="zh-CN"/>
              </w:rPr>
              <w:t>形成糊状后装入封闭的塑料袋内，在</w:t>
            </w:r>
            <w:r>
              <w:rPr>
                <w:rFonts w:hint="default" w:ascii="Times New Roman" w:hAnsi="Times New Roman" w:cs="Times New Roman"/>
                <w:bCs/>
                <w:color w:val="auto"/>
                <w:sz w:val="24"/>
                <w:highlight w:val="none"/>
              </w:rPr>
              <w:t>灰渣库</w:t>
            </w:r>
            <w:r>
              <w:rPr>
                <w:rFonts w:hint="default" w:ascii="Times New Roman" w:hAnsi="Times New Roman" w:cs="Times New Roman"/>
                <w:bCs/>
                <w:color w:val="auto"/>
                <w:sz w:val="24"/>
                <w:highlight w:val="none"/>
                <w:lang w:val="en-US" w:eastAsia="zh-CN"/>
              </w:rPr>
              <w:t>贮存</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生物质燃烧</w:t>
            </w:r>
            <w:r>
              <w:rPr>
                <w:rFonts w:hint="default" w:ascii="Times New Roman" w:hAnsi="Times New Roman" w:cs="Times New Roman"/>
                <w:bCs/>
                <w:color w:val="auto"/>
                <w:sz w:val="24"/>
                <w:highlight w:val="none"/>
              </w:rPr>
              <w:t>废气通过除尘</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陶瓷多管除尘器</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、脱硫</w:t>
            </w:r>
            <w:r>
              <w:rPr>
                <w:rFonts w:hint="default" w:ascii="Times New Roman" w:hAnsi="Times New Roman" w:cs="Times New Roman"/>
                <w:bCs/>
                <w:color w:val="auto"/>
                <w:sz w:val="24"/>
                <w:highlight w:val="none"/>
                <w:lang w:eastAsia="zh-CN"/>
              </w:rPr>
              <w:t>（</w:t>
            </w:r>
            <w:bookmarkStart w:id="11" w:name="hmcheck_e97e0671a1a145a398c31780ab690bdf"/>
            <w:r>
              <w:rPr>
                <w:rFonts w:hint="default" w:ascii="Times New Roman" w:hAnsi="Times New Roman" w:cs="Times New Roman"/>
                <w:bCs/>
                <w:color w:val="auto"/>
                <w:sz w:val="24"/>
                <w:highlight w:val="none"/>
                <w:lang w:val="en-US" w:eastAsia="zh-CN"/>
              </w:rPr>
              <w:t>钙钠</w:t>
            </w:r>
            <w:bookmarkEnd w:id="11"/>
            <w:r>
              <w:rPr>
                <w:rFonts w:hint="default" w:ascii="Times New Roman" w:hAnsi="Times New Roman" w:cs="Times New Roman"/>
                <w:bCs/>
                <w:color w:val="auto"/>
                <w:sz w:val="24"/>
                <w:highlight w:val="none"/>
                <w:lang w:val="en-US" w:eastAsia="zh-CN"/>
              </w:rPr>
              <w:t>双碱法</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后通过</w:t>
            </w:r>
            <w:r>
              <w:rPr>
                <w:rFonts w:hint="eastAsia" w:ascii="Times New Roman" w:hAnsi="Times New Roman" w:cs="Times New Roman"/>
                <w:bCs/>
                <w:color w:val="auto"/>
                <w:sz w:val="24"/>
                <w:highlight w:val="none"/>
                <w:lang w:val="en-US" w:eastAsia="zh-CN"/>
              </w:rPr>
              <w:t>15</w:t>
            </w:r>
            <w:r>
              <w:rPr>
                <w:rFonts w:hint="default" w:ascii="Times New Roman" w:hAnsi="Times New Roman" w:cs="Times New Roman"/>
                <w:bCs/>
                <w:color w:val="auto"/>
                <w:sz w:val="24"/>
                <w:highlight w:val="none"/>
              </w:rPr>
              <w:t>m高排气筒外排。</w:t>
            </w:r>
          </w:p>
          <w:p w14:paraId="30864265">
            <w:pPr>
              <w:pStyle w:val="6"/>
              <w:keepNext w:val="0"/>
              <w:keepLines w:val="0"/>
              <w:spacing w:before="0" w:beforeLines="0" w:after="0" w:afterLines="0"/>
              <w:ind w:firstLine="0" w:firstLineChars="0"/>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2.3</w:t>
            </w:r>
            <w:r>
              <w:rPr>
                <w:rFonts w:hint="default" w:ascii="Times New Roman" w:hAnsi="Times New Roman" w:eastAsia="宋体" w:cs="Times New Roman"/>
                <w:b/>
                <w:color w:val="auto"/>
                <w:sz w:val="24"/>
                <w:szCs w:val="24"/>
                <w:highlight w:val="none"/>
              </w:rPr>
              <w:t>产排污环节</w:t>
            </w:r>
            <w:bookmarkEnd w:id="10"/>
          </w:p>
          <w:p w14:paraId="5E7433E8">
            <w:pPr>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根据《排污许可证申请与核发技术规范-</w:t>
            </w:r>
            <w:r>
              <w:rPr>
                <w:rFonts w:hint="default" w:ascii="Times New Roman" w:hAnsi="Times New Roman" w:cs="Times New Roman"/>
                <w:color w:val="auto"/>
                <w:sz w:val="24"/>
                <w:szCs w:val="32"/>
                <w:highlight w:val="none"/>
                <w:lang w:val="en-US" w:eastAsia="zh-CN"/>
              </w:rPr>
              <w:t>锅炉</w:t>
            </w:r>
            <w:r>
              <w:rPr>
                <w:rFonts w:hint="default" w:ascii="Times New Roman" w:hAnsi="Times New Roman" w:cs="Times New Roman"/>
                <w:color w:val="auto"/>
                <w:sz w:val="24"/>
                <w:szCs w:val="32"/>
                <w:highlight w:val="none"/>
              </w:rPr>
              <w:t>》（HJ</w:t>
            </w:r>
            <w:r>
              <w:rPr>
                <w:rFonts w:hint="default" w:ascii="Times New Roman" w:hAnsi="Times New Roman" w:cs="Times New Roman"/>
                <w:color w:val="auto"/>
                <w:sz w:val="24"/>
                <w:szCs w:val="32"/>
                <w:highlight w:val="none"/>
                <w:lang w:val="en-US" w:eastAsia="zh-CN"/>
              </w:rPr>
              <w:t>953</w:t>
            </w:r>
            <w:r>
              <w:rPr>
                <w:rFonts w:hint="default" w:ascii="Times New Roman" w:hAnsi="Times New Roman" w:cs="Times New Roman"/>
                <w:color w:val="auto"/>
                <w:sz w:val="24"/>
                <w:szCs w:val="32"/>
                <w:highlight w:val="none"/>
              </w:rPr>
              <w:t>-20</w:t>
            </w:r>
            <w:r>
              <w:rPr>
                <w:rFonts w:hint="default" w:ascii="Times New Roman" w:hAnsi="Times New Roman" w:cs="Times New Roman"/>
                <w:color w:val="auto"/>
                <w:sz w:val="24"/>
                <w:szCs w:val="32"/>
                <w:highlight w:val="none"/>
                <w:lang w:val="en-US" w:eastAsia="zh-CN"/>
              </w:rPr>
              <w:t>18</w:t>
            </w:r>
            <w:r>
              <w:rPr>
                <w:rFonts w:hint="default" w:ascii="Times New Roman" w:hAnsi="Times New Roman" w:cs="Times New Roman"/>
                <w:color w:val="auto"/>
                <w:sz w:val="24"/>
                <w:szCs w:val="32"/>
                <w:highlight w:val="none"/>
              </w:rPr>
              <w:t>），结合本项目生产工艺，本项目营运期污染工序与污染因子见下表2-</w:t>
            </w:r>
            <w:r>
              <w:rPr>
                <w:rFonts w:hint="eastAsia" w:ascii="Times New Roman" w:hAnsi="Times New Roman" w:cs="Times New Roman"/>
                <w:color w:val="auto"/>
                <w:sz w:val="24"/>
                <w:szCs w:val="32"/>
                <w:highlight w:val="none"/>
                <w:lang w:val="en-US" w:eastAsia="zh-CN"/>
              </w:rPr>
              <w:t>9</w:t>
            </w:r>
            <w:r>
              <w:rPr>
                <w:rFonts w:hint="default" w:ascii="Times New Roman" w:hAnsi="Times New Roman" w:cs="Times New Roman"/>
                <w:color w:val="auto"/>
                <w:sz w:val="24"/>
                <w:szCs w:val="32"/>
                <w:highlight w:val="none"/>
              </w:rPr>
              <w:t>。</w:t>
            </w:r>
          </w:p>
          <w:p w14:paraId="452A02A8">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表2-</w:t>
            </w:r>
            <w:r>
              <w:rPr>
                <w:rFonts w:hint="eastAsia" w:ascii="Times New Roman" w:hAnsi="Times New Roman" w:eastAsia="宋体" w:cs="Times New Roman"/>
                <w:b/>
                <w:bCs/>
                <w:color w:val="auto"/>
                <w:sz w:val="21"/>
                <w:szCs w:val="21"/>
                <w:highlight w:val="none"/>
                <w:lang w:val="en-US" w:eastAsia="zh-CN"/>
              </w:rPr>
              <w:t>9</w:t>
            </w:r>
            <w:r>
              <w:rPr>
                <w:rFonts w:hint="default" w:ascii="Times New Roman" w:hAnsi="Times New Roman" w:eastAsia="宋体" w:cs="Times New Roman"/>
                <w:b/>
                <w:bCs/>
                <w:color w:val="auto"/>
                <w:sz w:val="21"/>
                <w:szCs w:val="21"/>
                <w:highlight w:val="none"/>
              </w:rPr>
              <w:t xml:space="preserve">     营运期主要污染工序一览表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59"/>
              <w:gridCol w:w="1979"/>
              <w:gridCol w:w="2799"/>
            </w:tblGrid>
            <w:tr w14:paraId="287A16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tcBorders>
                    <w:bottom w:val="single" w:color="auto" w:sz="12" w:space="0"/>
                  </w:tcBorders>
                  <w:vAlign w:val="center"/>
                </w:tcPr>
                <w:p w14:paraId="630B42C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污染物</w:t>
                  </w:r>
                </w:p>
              </w:tc>
              <w:tc>
                <w:tcPr>
                  <w:tcW w:w="1376" w:type="pct"/>
                  <w:tcBorders>
                    <w:bottom w:val="single" w:color="auto" w:sz="12" w:space="0"/>
                  </w:tcBorders>
                  <w:vAlign w:val="center"/>
                </w:tcPr>
                <w:p w14:paraId="76B7C539">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产污环节</w:t>
                  </w:r>
                </w:p>
              </w:tc>
              <w:tc>
                <w:tcPr>
                  <w:tcW w:w="1261" w:type="pct"/>
                  <w:tcBorders>
                    <w:bottom w:val="single" w:color="auto" w:sz="12" w:space="0"/>
                  </w:tcBorders>
                  <w:vAlign w:val="center"/>
                </w:tcPr>
                <w:p w14:paraId="570BD244">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污染物</w:t>
                  </w:r>
                </w:p>
              </w:tc>
              <w:tc>
                <w:tcPr>
                  <w:tcW w:w="1784" w:type="pct"/>
                  <w:tcBorders>
                    <w:bottom w:val="single" w:color="auto" w:sz="12" w:space="0"/>
                  </w:tcBorders>
                  <w:vAlign w:val="center"/>
                </w:tcPr>
                <w:p w14:paraId="7139369B">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污染治理措施</w:t>
                  </w:r>
                </w:p>
              </w:tc>
            </w:tr>
            <w:tr w14:paraId="3E9E7F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restart"/>
                  <w:tcBorders>
                    <w:top w:val="single" w:color="auto" w:sz="12" w:space="0"/>
                    <w:tl2br w:val="nil"/>
                    <w:tr2bl w:val="nil"/>
                  </w:tcBorders>
                  <w:vAlign w:val="center"/>
                </w:tcPr>
                <w:p w14:paraId="4EB8DE0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废气</w:t>
                  </w:r>
                </w:p>
              </w:tc>
              <w:tc>
                <w:tcPr>
                  <w:tcW w:w="1376" w:type="pct"/>
                  <w:tcBorders>
                    <w:top w:val="single" w:color="auto" w:sz="12" w:space="0"/>
                    <w:tl2br w:val="nil"/>
                    <w:tr2bl w:val="nil"/>
                  </w:tcBorders>
                  <w:shd w:val="clear" w:color="auto" w:fill="auto"/>
                  <w:vAlign w:val="center"/>
                </w:tcPr>
                <w:p w14:paraId="36F4C1B7">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湿料筛分废气</w:t>
                  </w:r>
                </w:p>
              </w:tc>
              <w:tc>
                <w:tcPr>
                  <w:tcW w:w="1261" w:type="pct"/>
                  <w:tcBorders>
                    <w:top w:val="single" w:color="auto" w:sz="12" w:space="0"/>
                    <w:tl2br w:val="nil"/>
                    <w:tr2bl w:val="nil"/>
                  </w:tcBorders>
                  <w:shd w:val="clear" w:color="auto" w:fill="auto"/>
                  <w:vAlign w:val="center"/>
                </w:tcPr>
                <w:p w14:paraId="022224B4">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颗粒物</w:t>
                  </w:r>
                </w:p>
              </w:tc>
              <w:tc>
                <w:tcPr>
                  <w:tcW w:w="1784" w:type="pct"/>
                  <w:tcBorders>
                    <w:top w:val="single" w:color="auto" w:sz="12" w:space="0"/>
                    <w:tl2br w:val="nil"/>
                    <w:tr2bl w:val="nil"/>
                  </w:tcBorders>
                  <w:shd w:val="clear" w:color="auto" w:fill="auto"/>
                  <w:vAlign w:val="center"/>
                </w:tcPr>
                <w:p w14:paraId="128CAABB">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封闭式筛分</w:t>
                  </w:r>
                </w:p>
              </w:tc>
            </w:tr>
            <w:tr w14:paraId="1BC13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139D317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shd w:val="clear" w:color="auto" w:fill="auto"/>
                  <w:vAlign w:val="center"/>
                </w:tcPr>
                <w:p w14:paraId="46F5F807">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生物质热风炉燃烧废气</w:t>
                  </w:r>
                </w:p>
              </w:tc>
              <w:tc>
                <w:tcPr>
                  <w:tcW w:w="1261" w:type="pct"/>
                  <w:tcBorders>
                    <w:tl2br w:val="nil"/>
                    <w:tr2bl w:val="nil"/>
                  </w:tcBorders>
                  <w:shd w:val="clear" w:color="auto" w:fill="auto"/>
                  <w:vAlign w:val="center"/>
                </w:tcPr>
                <w:p w14:paraId="3E997444">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颗粒物、氮氧化物、二氧化硫</w:t>
                  </w:r>
                </w:p>
              </w:tc>
              <w:tc>
                <w:tcPr>
                  <w:tcW w:w="1784" w:type="pct"/>
                  <w:tcBorders>
                    <w:tl2br w:val="nil"/>
                    <w:tr2bl w:val="nil"/>
                  </w:tcBorders>
                  <w:shd w:val="clear" w:color="auto" w:fill="auto"/>
                  <w:vAlign w:val="center"/>
                </w:tcPr>
                <w:p w14:paraId="449E4915">
                  <w:pPr>
                    <w:pStyle w:val="35"/>
                    <w:keepNext w:val="0"/>
                    <w:keepLines w:val="0"/>
                    <w:suppressLineNumbers w:val="0"/>
                    <w:bidi w:val="0"/>
                    <w:spacing w:before="0" w:beforeAutospacing="0" w:after="0" w:afterAutospacing="0"/>
                    <w:ind w:right="0" w:righ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低氮燃烧+陶瓷多管除尘+布袋除尘器+双碱法脱硫+15m高排气筒</w:t>
                  </w:r>
                </w:p>
              </w:tc>
            </w:tr>
            <w:tr w14:paraId="7F6CC4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7876B333">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68C0343F">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烘干塔烘干废气</w:t>
                  </w:r>
                </w:p>
              </w:tc>
              <w:tc>
                <w:tcPr>
                  <w:tcW w:w="1261" w:type="pct"/>
                  <w:tcBorders>
                    <w:tl2br w:val="nil"/>
                    <w:tr2bl w:val="nil"/>
                  </w:tcBorders>
                  <w:vAlign w:val="center"/>
                </w:tcPr>
                <w:p w14:paraId="7662645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颗粒物</w:t>
                  </w:r>
                </w:p>
              </w:tc>
              <w:tc>
                <w:tcPr>
                  <w:tcW w:w="1784" w:type="pct"/>
                  <w:tcBorders>
                    <w:tl2br w:val="nil"/>
                    <w:tr2bl w:val="nil"/>
                  </w:tcBorders>
                  <w:vAlign w:val="center"/>
                </w:tcPr>
                <w:p w14:paraId="6EAFD5CB">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烘干塔封闭，顶部配套自吸式袋式除尘器</w:t>
                  </w:r>
                </w:p>
              </w:tc>
            </w:tr>
            <w:tr w14:paraId="30A51B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restart"/>
                  <w:tcBorders>
                    <w:tl2br w:val="nil"/>
                    <w:tr2bl w:val="nil"/>
                  </w:tcBorders>
                  <w:vAlign w:val="center"/>
                </w:tcPr>
                <w:p w14:paraId="1B0E14F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废水</w:t>
                  </w:r>
                </w:p>
              </w:tc>
              <w:tc>
                <w:tcPr>
                  <w:tcW w:w="1376" w:type="pct"/>
                  <w:tcBorders>
                    <w:tl2br w:val="nil"/>
                    <w:tr2bl w:val="nil"/>
                  </w:tcBorders>
                  <w:vAlign w:val="center"/>
                </w:tcPr>
                <w:p w14:paraId="7359D03F">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脱硫废水</w:t>
                  </w:r>
                </w:p>
              </w:tc>
              <w:tc>
                <w:tcPr>
                  <w:tcW w:w="1261" w:type="pct"/>
                  <w:tcBorders>
                    <w:tl2br w:val="nil"/>
                    <w:tr2bl w:val="nil"/>
                  </w:tcBorders>
                  <w:vAlign w:val="center"/>
                </w:tcPr>
                <w:p w14:paraId="377CD588">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1784" w:type="pct"/>
                  <w:tcBorders>
                    <w:tl2br w:val="nil"/>
                    <w:tr2bl w:val="nil"/>
                  </w:tcBorders>
                  <w:vAlign w:val="center"/>
                </w:tcPr>
                <w:p w14:paraId="7BBE6B79">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循环池循环利用不外排</w:t>
                  </w:r>
                </w:p>
              </w:tc>
            </w:tr>
            <w:tr w14:paraId="35EFB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5979072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42B088B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灰渣池废水</w:t>
                  </w:r>
                </w:p>
              </w:tc>
              <w:tc>
                <w:tcPr>
                  <w:tcW w:w="1261" w:type="pct"/>
                  <w:tcBorders>
                    <w:tl2br w:val="nil"/>
                    <w:tr2bl w:val="nil"/>
                  </w:tcBorders>
                  <w:vAlign w:val="center"/>
                </w:tcPr>
                <w:p w14:paraId="036F2EF3">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shd w:val="clear" w:fill="FFFFFF"/>
                      <w:lang w:val="en-US" w:eastAsia="zh-CN"/>
                    </w:rPr>
                  </w:pPr>
                  <w:r>
                    <w:rPr>
                      <w:rFonts w:hint="default" w:ascii="Times New Roman" w:hAnsi="Times New Roman" w:cs="Times New Roman"/>
                      <w:b w:val="0"/>
                      <w:bCs w:val="0"/>
                      <w:color w:val="auto"/>
                      <w:sz w:val="21"/>
                      <w:szCs w:val="21"/>
                      <w:highlight w:val="none"/>
                      <w:shd w:val="clear" w:fill="FFFFFF"/>
                      <w:lang w:val="en-US" w:eastAsia="zh-CN"/>
                    </w:rPr>
                    <w:t>/</w:t>
                  </w:r>
                </w:p>
              </w:tc>
              <w:tc>
                <w:tcPr>
                  <w:tcW w:w="1784" w:type="pct"/>
                  <w:tcBorders>
                    <w:tl2br w:val="nil"/>
                    <w:tr2bl w:val="nil"/>
                  </w:tcBorders>
                  <w:vAlign w:val="center"/>
                </w:tcPr>
                <w:p w14:paraId="58A463E2">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带入灰渣中外售</w:t>
                  </w:r>
                </w:p>
              </w:tc>
            </w:tr>
            <w:tr w14:paraId="0B3E2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271AB5C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14D93FA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生活污水</w:t>
                  </w:r>
                </w:p>
              </w:tc>
              <w:tc>
                <w:tcPr>
                  <w:tcW w:w="1261" w:type="pct"/>
                  <w:tcBorders>
                    <w:tl2br w:val="nil"/>
                    <w:tr2bl w:val="nil"/>
                  </w:tcBorders>
                  <w:vAlign w:val="center"/>
                </w:tcPr>
                <w:p w14:paraId="20C444DE">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SS、氨氮、动植物油、COD、BOD</w:t>
                  </w:r>
                  <w:r>
                    <w:rPr>
                      <w:rFonts w:hint="default" w:ascii="Times New Roman" w:hAnsi="Times New Roman" w:cs="Times New Roman"/>
                      <w:b w:val="0"/>
                      <w:bCs w:val="0"/>
                      <w:color w:val="auto"/>
                      <w:sz w:val="21"/>
                      <w:szCs w:val="21"/>
                      <w:highlight w:val="none"/>
                      <w:vertAlign w:val="subscript"/>
                      <w:lang w:val="en-US" w:eastAsia="zh-CN"/>
                    </w:rPr>
                    <w:t>5</w:t>
                  </w:r>
                </w:p>
              </w:tc>
              <w:tc>
                <w:tcPr>
                  <w:tcW w:w="1784" w:type="pct"/>
                  <w:tcBorders>
                    <w:tl2br w:val="nil"/>
                    <w:tr2bl w:val="nil"/>
                  </w:tcBorders>
                  <w:vAlign w:val="center"/>
                </w:tcPr>
                <w:p w14:paraId="22D4AB2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化粪池预处理后</w:t>
                  </w:r>
                  <w:r>
                    <w:rPr>
                      <w:rFonts w:hint="default" w:ascii="Times New Roman" w:hAnsi="Times New Roman" w:cs="Times New Roman"/>
                      <w:b w:val="0"/>
                      <w:bCs w:val="0"/>
                      <w:color w:val="auto"/>
                      <w:spacing w:val="12"/>
                      <w:sz w:val="21"/>
                      <w:szCs w:val="21"/>
                      <w:highlight w:val="none"/>
                      <w:lang w:val="en-US" w:eastAsia="zh-CN"/>
                    </w:rPr>
                    <w:t>拉运至129团污水处理站处理</w:t>
                  </w:r>
                </w:p>
              </w:tc>
            </w:tr>
            <w:tr w14:paraId="7C1C5F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tcBorders>
                    <w:tl2br w:val="nil"/>
                    <w:tr2bl w:val="nil"/>
                  </w:tcBorders>
                  <w:vAlign w:val="center"/>
                </w:tcPr>
                <w:p w14:paraId="7F0D42DE">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噪声</w:t>
                  </w:r>
                </w:p>
              </w:tc>
              <w:tc>
                <w:tcPr>
                  <w:tcW w:w="1376" w:type="pct"/>
                  <w:tcBorders>
                    <w:tl2br w:val="nil"/>
                    <w:tr2bl w:val="nil"/>
                  </w:tcBorders>
                  <w:vAlign w:val="center"/>
                </w:tcPr>
                <w:p w14:paraId="31DA734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设备运行机械噪声、原料运输车辆噪声</w:t>
                  </w:r>
                </w:p>
              </w:tc>
              <w:tc>
                <w:tcPr>
                  <w:tcW w:w="1261" w:type="pct"/>
                  <w:tcBorders>
                    <w:tl2br w:val="nil"/>
                    <w:tr2bl w:val="nil"/>
                  </w:tcBorders>
                  <w:vAlign w:val="center"/>
                </w:tcPr>
                <w:p w14:paraId="7B87AF9C">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连续等效A声级</w:t>
                  </w:r>
                </w:p>
              </w:tc>
              <w:tc>
                <w:tcPr>
                  <w:tcW w:w="1784" w:type="pct"/>
                  <w:tcBorders>
                    <w:tl2br w:val="nil"/>
                    <w:tr2bl w:val="nil"/>
                  </w:tcBorders>
                  <w:vAlign w:val="center"/>
                </w:tcPr>
                <w:p w14:paraId="5569E2B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选用低噪声设备、设置减振基座、隔声罩等措施。运输车辆限速、限值怠速、禁止鸣笛等。</w:t>
                  </w:r>
                </w:p>
              </w:tc>
            </w:tr>
            <w:tr w14:paraId="1B37F3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restart"/>
                  <w:tcBorders>
                    <w:tl2br w:val="nil"/>
                    <w:tr2bl w:val="nil"/>
                  </w:tcBorders>
                  <w:vAlign w:val="center"/>
                </w:tcPr>
                <w:p w14:paraId="79D0014B">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一般固废</w:t>
                  </w:r>
                </w:p>
              </w:tc>
              <w:tc>
                <w:tcPr>
                  <w:tcW w:w="1376" w:type="pct"/>
                  <w:tcBorders>
                    <w:tl2br w:val="nil"/>
                    <w:tr2bl w:val="nil"/>
                  </w:tcBorders>
                  <w:vAlign w:val="center"/>
                </w:tcPr>
                <w:p w14:paraId="272344A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职工生活</w:t>
                  </w:r>
                </w:p>
              </w:tc>
              <w:tc>
                <w:tcPr>
                  <w:tcW w:w="1261" w:type="pct"/>
                  <w:tcBorders>
                    <w:tl2br w:val="nil"/>
                    <w:tr2bl w:val="nil"/>
                  </w:tcBorders>
                  <w:vAlign w:val="center"/>
                </w:tcPr>
                <w:p w14:paraId="585AF24A">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生活垃圾</w:t>
                  </w:r>
                </w:p>
              </w:tc>
              <w:tc>
                <w:tcPr>
                  <w:tcW w:w="1784" w:type="pct"/>
                  <w:tcBorders>
                    <w:tl2br w:val="nil"/>
                    <w:tr2bl w:val="nil"/>
                  </w:tcBorders>
                  <w:vAlign w:val="center"/>
                </w:tcPr>
                <w:p w14:paraId="653CD311">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厂区设置垃圾桶分类收集，交由环卫部门统一处置</w:t>
                  </w:r>
                </w:p>
              </w:tc>
            </w:tr>
            <w:tr w14:paraId="524A4D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7581E20F">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252B7CDF">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筛分杂质、红衣等</w:t>
                  </w:r>
                </w:p>
              </w:tc>
              <w:tc>
                <w:tcPr>
                  <w:tcW w:w="1261" w:type="pct"/>
                  <w:tcBorders>
                    <w:tl2br w:val="nil"/>
                    <w:tr2bl w:val="nil"/>
                  </w:tcBorders>
                  <w:vAlign w:val="center"/>
                </w:tcPr>
                <w:p w14:paraId="5B5E280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477A976C">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bookmarkStart w:id="12" w:name="hmcheck_3b1ec816065547c3b1ec21ea4b35bf49"/>
                  <w:r>
                    <w:rPr>
                      <w:rFonts w:hint="default" w:ascii="Times New Roman" w:hAnsi="Times New Roman" w:cs="Times New Roman"/>
                      <w:b w:val="0"/>
                      <w:bCs w:val="0"/>
                      <w:color w:val="auto"/>
                      <w:sz w:val="21"/>
                      <w:szCs w:val="21"/>
                      <w:highlight w:val="none"/>
                      <w:lang w:val="en-US" w:eastAsia="zh-CN"/>
                    </w:rPr>
                    <w:t>外售</w:t>
                  </w:r>
                  <w:bookmarkEnd w:id="12"/>
                  <w:r>
                    <w:rPr>
                      <w:rFonts w:hint="default" w:ascii="Times New Roman" w:hAnsi="Times New Roman" w:cs="Times New Roman"/>
                      <w:b w:val="0"/>
                      <w:bCs w:val="0"/>
                      <w:color w:val="auto"/>
                      <w:sz w:val="21"/>
                      <w:szCs w:val="21"/>
                      <w:highlight w:val="none"/>
                      <w:lang w:val="en-US" w:eastAsia="zh-CN"/>
                    </w:rPr>
                    <w:t>农户用于堆肥</w:t>
                  </w:r>
                </w:p>
              </w:tc>
            </w:tr>
            <w:tr w14:paraId="1FE07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3B67B930">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21188051">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生物质颗粒、生石灰、氢氧化钠包装袋</w:t>
                  </w:r>
                </w:p>
              </w:tc>
              <w:tc>
                <w:tcPr>
                  <w:tcW w:w="1261" w:type="pct"/>
                  <w:tcBorders>
                    <w:tl2br w:val="nil"/>
                    <w:tr2bl w:val="nil"/>
                  </w:tcBorders>
                  <w:vAlign w:val="center"/>
                </w:tcPr>
                <w:p w14:paraId="321095C1">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53CAD5A3">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外售物资回收公司</w:t>
                  </w:r>
                </w:p>
              </w:tc>
            </w:tr>
            <w:tr w14:paraId="3602D1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34C71BD4">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51FFF28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灰渣</w:t>
                  </w:r>
                </w:p>
              </w:tc>
              <w:tc>
                <w:tcPr>
                  <w:tcW w:w="1261" w:type="pct"/>
                  <w:tcBorders>
                    <w:tl2br w:val="nil"/>
                    <w:tr2bl w:val="nil"/>
                  </w:tcBorders>
                  <w:vAlign w:val="center"/>
                </w:tcPr>
                <w:p w14:paraId="38A8F10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0AF2915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bookmarkStart w:id="13" w:name="hmcheck_3822d1f397b44cc3a991c3dc57f444b5"/>
                  <w:r>
                    <w:rPr>
                      <w:rFonts w:hint="default" w:ascii="Times New Roman" w:hAnsi="Times New Roman" w:cs="Times New Roman"/>
                      <w:b w:val="0"/>
                      <w:bCs w:val="0"/>
                      <w:color w:val="auto"/>
                      <w:sz w:val="21"/>
                      <w:szCs w:val="21"/>
                      <w:highlight w:val="none"/>
                      <w:lang w:val="en-US" w:eastAsia="zh-CN"/>
                    </w:rPr>
                    <w:t>外售</w:t>
                  </w:r>
                  <w:bookmarkEnd w:id="13"/>
                  <w:r>
                    <w:rPr>
                      <w:rFonts w:hint="default" w:ascii="Times New Roman" w:hAnsi="Times New Roman" w:cs="Times New Roman"/>
                      <w:b w:val="0"/>
                      <w:bCs w:val="0"/>
                      <w:color w:val="auto"/>
                      <w:sz w:val="21"/>
                      <w:szCs w:val="21"/>
                      <w:highlight w:val="none"/>
                      <w:lang w:val="en-US" w:eastAsia="zh-CN"/>
                    </w:rPr>
                    <w:t>农户作为灰肥还田</w:t>
                  </w:r>
                </w:p>
              </w:tc>
            </w:tr>
            <w:tr w14:paraId="53666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7958538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3A8F9D9F">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脱硫石膏</w:t>
                  </w:r>
                </w:p>
              </w:tc>
              <w:tc>
                <w:tcPr>
                  <w:tcW w:w="1261" w:type="pct"/>
                  <w:tcBorders>
                    <w:tl2br w:val="nil"/>
                    <w:tr2bl w:val="nil"/>
                  </w:tcBorders>
                  <w:vAlign w:val="center"/>
                </w:tcPr>
                <w:p w14:paraId="37B8A80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39998DAC">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外售建材公司作为原料使用</w:t>
                  </w:r>
                </w:p>
              </w:tc>
            </w:tr>
            <w:tr w14:paraId="78864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pct"/>
                  <w:vMerge w:val="continue"/>
                  <w:tcBorders>
                    <w:tl2br w:val="nil"/>
                    <w:tr2bl w:val="nil"/>
                  </w:tcBorders>
                  <w:vAlign w:val="center"/>
                </w:tcPr>
                <w:p w14:paraId="69294AD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26A9B559">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热风炉配套除尘器收集的灰尘</w:t>
                  </w:r>
                </w:p>
              </w:tc>
              <w:tc>
                <w:tcPr>
                  <w:tcW w:w="1261" w:type="pct"/>
                  <w:tcBorders>
                    <w:tl2br w:val="nil"/>
                    <w:tr2bl w:val="nil"/>
                  </w:tcBorders>
                  <w:vAlign w:val="center"/>
                </w:tcPr>
                <w:p w14:paraId="37CD657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36C5945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bookmarkStart w:id="14" w:name="hmcheck_72cfe6c89835415e8c926b44fb148943"/>
                  <w:r>
                    <w:rPr>
                      <w:rFonts w:hint="default" w:ascii="Times New Roman" w:hAnsi="Times New Roman" w:cs="Times New Roman"/>
                      <w:b w:val="0"/>
                      <w:bCs w:val="0"/>
                      <w:color w:val="auto"/>
                      <w:sz w:val="21"/>
                      <w:szCs w:val="21"/>
                      <w:highlight w:val="none"/>
                      <w:lang w:val="en-US" w:eastAsia="zh-CN"/>
                    </w:rPr>
                    <w:t>外售</w:t>
                  </w:r>
                  <w:bookmarkEnd w:id="14"/>
                  <w:r>
                    <w:rPr>
                      <w:rFonts w:hint="default" w:ascii="Times New Roman" w:hAnsi="Times New Roman" w:cs="Times New Roman"/>
                      <w:b w:val="0"/>
                      <w:bCs w:val="0"/>
                      <w:color w:val="auto"/>
                      <w:sz w:val="21"/>
                      <w:szCs w:val="21"/>
                      <w:highlight w:val="none"/>
                      <w:lang w:val="en-US" w:eastAsia="zh-CN"/>
                    </w:rPr>
                    <w:t>建材公司作为原料使用</w:t>
                  </w:r>
                </w:p>
              </w:tc>
            </w:tr>
            <w:tr w14:paraId="3B6B6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4ABA61CB">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30DA64D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布袋除尘器产生的废布袋</w:t>
                  </w:r>
                </w:p>
              </w:tc>
              <w:tc>
                <w:tcPr>
                  <w:tcW w:w="1261" w:type="pct"/>
                  <w:tcBorders>
                    <w:tl2br w:val="nil"/>
                    <w:tr2bl w:val="nil"/>
                  </w:tcBorders>
                  <w:vAlign w:val="center"/>
                </w:tcPr>
                <w:p w14:paraId="4788B58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一般固体废物</w:t>
                  </w:r>
                </w:p>
              </w:tc>
              <w:tc>
                <w:tcPr>
                  <w:tcW w:w="1784" w:type="pct"/>
                  <w:tcBorders>
                    <w:tl2br w:val="nil"/>
                    <w:tr2bl w:val="nil"/>
                  </w:tcBorders>
                  <w:vAlign w:val="center"/>
                </w:tcPr>
                <w:p w14:paraId="79AF747E">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厂家回收处理</w:t>
                  </w:r>
                </w:p>
              </w:tc>
            </w:tr>
            <w:tr w14:paraId="69561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restart"/>
                  <w:tcBorders>
                    <w:tl2br w:val="nil"/>
                    <w:tr2bl w:val="nil"/>
                  </w:tcBorders>
                  <w:vAlign w:val="center"/>
                </w:tcPr>
                <w:p w14:paraId="7ECEEA9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危险废物</w:t>
                  </w:r>
                </w:p>
              </w:tc>
              <w:tc>
                <w:tcPr>
                  <w:tcW w:w="1376" w:type="pct"/>
                  <w:tcBorders>
                    <w:tl2br w:val="nil"/>
                    <w:tr2bl w:val="nil"/>
                  </w:tcBorders>
                  <w:vAlign w:val="center"/>
                </w:tcPr>
                <w:p w14:paraId="3FBD5B66">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设备维修保养过程产生的废机油、废油桶</w:t>
                  </w:r>
                </w:p>
              </w:tc>
              <w:tc>
                <w:tcPr>
                  <w:tcW w:w="1261" w:type="pct"/>
                  <w:tcBorders>
                    <w:tl2br w:val="nil"/>
                    <w:tr2bl w:val="nil"/>
                  </w:tcBorders>
                  <w:vAlign w:val="center"/>
                </w:tcPr>
                <w:p w14:paraId="7EE8D860">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危险废物</w:t>
                  </w:r>
                </w:p>
              </w:tc>
              <w:tc>
                <w:tcPr>
                  <w:tcW w:w="1784" w:type="pct"/>
                  <w:tcBorders>
                    <w:tl2br w:val="nil"/>
                    <w:tr2bl w:val="nil"/>
                  </w:tcBorders>
                  <w:vAlign w:val="center"/>
                </w:tcPr>
                <w:p w14:paraId="1B3D20A4">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暂存在危险废物贮存库内，交由具有相应处理资质的单位进行处理</w:t>
                  </w:r>
                </w:p>
              </w:tc>
            </w:tr>
            <w:tr w14:paraId="0CCF30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pct"/>
                  <w:vMerge w:val="continue"/>
                  <w:tcBorders>
                    <w:tl2br w:val="nil"/>
                    <w:tr2bl w:val="nil"/>
                  </w:tcBorders>
                  <w:vAlign w:val="center"/>
                </w:tcPr>
                <w:p w14:paraId="2986828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p>
              </w:tc>
              <w:tc>
                <w:tcPr>
                  <w:tcW w:w="1376" w:type="pct"/>
                  <w:tcBorders>
                    <w:tl2br w:val="nil"/>
                    <w:tr2bl w:val="nil"/>
                  </w:tcBorders>
                  <w:vAlign w:val="center"/>
                </w:tcPr>
                <w:p w14:paraId="114EDB9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含油抹布、手套等</w:t>
                  </w:r>
                </w:p>
              </w:tc>
              <w:tc>
                <w:tcPr>
                  <w:tcW w:w="1261" w:type="pct"/>
                  <w:tcBorders>
                    <w:tl2br w:val="nil"/>
                    <w:tr2bl w:val="nil"/>
                  </w:tcBorders>
                  <w:vAlign w:val="center"/>
                </w:tcPr>
                <w:p w14:paraId="17AECAB1">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危险废物</w:t>
                  </w:r>
                </w:p>
              </w:tc>
              <w:tc>
                <w:tcPr>
                  <w:tcW w:w="1784" w:type="pct"/>
                  <w:tcBorders>
                    <w:tl2br w:val="nil"/>
                    <w:tr2bl w:val="nil"/>
                  </w:tcBorders>
                  <w:vAlign w:val="center"/>
                </w:tcPr>
                <w:p w14:paraId="69984F3C">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与生活垃圾一起处理</w:t>
                  </w:r>
                </w:p>
              </w:tc>
            </w:tr>
          </w:tbl>
          <w:p w14:paraId="3F675495">
            <w:pPr>
              <w:jc w:val="center"/>
              <w:rPr>
                <w:rFonts w:hint="default" w:ascii="Times New Roman" w:hAnsi="Times New Roman" w:eastAsia="宋体" w:cs="Times New Roman"/>
                <w:b/>
                <w:bCs/>
                <w:color w:val="auto"/>
                <w:sz w:val="21"/>
                <w:szCs w:val="21"/>
                <w:highlight w:val="none"/>
              </w:rPr>
            </w:pPr>
          </w:p>
          <w:p w14:paraId="322C000F">
            <w:pPr>
              <w:jc w:val="center"/>
              <w:rPr>
                <w:rFonts w:hint="default" w:ascii="Times New Roman" w:hAnsi="Times New Roman" w:eastAsia="宋体" w:cs="Times New Roman"/>
                <w:b/>
                <w:bCs/>
                <w:color w:val="auto"/>
                <w:sz w:val="21"/>
                <w:szCs w:val="21"/>
                <w:highlight w:val="none"/>
              </w:rPr>
            </w:pPr>
          </w:p>
          <w:p w14:paraId="109C46BE">
            <w:pPr>
              <w:bidi w:val="0"/>
              <w:jc w:val="left"/>
              <w:rPr>
                <w:rFonts w:hint="default" w:ascii="Times New Roman" w:hAnsi="Times New Roman" w:cs="Times New Roman"/>
                <w:color w:val="auto"/>
                <w:highlight w:val="none"/>
                <w:lang w:val="en-US" w:eastAsia="zh-CN"/>
              </w:rPr>
            </w:pPr>
          </w:p>
        </w:tc>
      </w:tr>
      <w:tr w14:paraId="16DDF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8" w:type="dxa"/>
            <w:noWrap w:val="0"/>
            <w:vAlign w:val="center"/>
          </w:tcPr>
          <w:p w14:paraId="09F4D136">
            <w:pPr>
              <w:pStyle w:val="18"/>
              <w:adjustRightInd w:val="0"/>
              <w:snapToGrid w:val="0"/>
              <w:spacing w:before="0" w:beforeAutospacing="0" w:after="0" w:afterAutospacing="0"/>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kern w:val="2"/>
                <w:sz w:val="24"/>
                <w:szCs w:val="24"/>
                <w:highlight w:val="none"/>
              </w:rPr>
              <w:t>与项目有关的原有环境污染问题</w:t>
            </w:r>
          </w:p>
        </w:tc>
        <w:tc>
          <w:tcPr>
            <w:tcW w:w="8352" w:type="dxa"/>
            <w:noWrap w:val="0"/>
            <w:vAlign w:val="top"/>
          </w:tcPr>
          <w:p w14:paraId="0D59C1C3">
            <w:pPr>
              <w:pStyle w:val="28"/>
              <w:jc w:val="both"/>
              <w:rPr>
                <w:rFonts w:hint="default" w:ascii="Times New Roman" w:hAnsi="Times New Roman" w:cs="Times New Roman"/>
                <w:color w:val="auto"/>
                <w:highlight w:val="none"/>
                <w:lang w:eastAsia="zh-CN"/>
              </w:rPr>
            </w:pPr>
          </w:p>
          <w:p w14:paraId="564C0C9E">
            <w:pPr>
              <w:rPr>
                <w:rFonts w:hint="default" w:ascii="Times New Roman" w:hAnsi="Times New Roman" w:cs="Times New Roman"/>
                <w:color w:val="auto"/>
                <w:highlight w:val="none"/>
                <w:lang w:eastAsia="zh-CN"/>
              </w:rPr>
            </w:pPr>
          </w:p>
          <w:p w14:paraId="671FA9DB">
            <w:pPr>
              <w:rPr>
                <w:rFonts w:hint="default" w:ascii="Times New Roman" w:hAnsi="Times New Roman" w:cs="Times New Roman"/>
                <w:color w:val="auto"/>
                <w:highlight w:val="none"/>
                <w:lang w:eastAsia="zh-CN"/>
              </w:rPr>
            </w:pPr>
          </w:p>
          <w:p w14:paraId="6EC69BD5">
            <w:pPr>
              <w:rPr>
                <w:rFonts w:hint="default" w:ascii="Times New Roman" w:hAnsi="Times New Roman" w:cs="Times New Roman"/>
                <w:color w:val="auto"/>
                <w:highlight w:val="none"/>
                <w:lang w:eastAsia="zh-CN"/>
              </w:rPr>
            </w:pPr>
          </w:p>
          <w:p w14:paraId="3A7CDCBB">
            <w:pPr>
              <w:rPr>
                <w:rFonts w:hint="default" w:ascii="Times New Roman" w:hAnsi="Times New Roman" w:cs="Times New Roman"/>
                <w:color w:val="auto"/>
                <w:highlight w:val="none"/>
                <w:lang w:eastAsia="zh-CN"/>
              </w:rPr>
            </w:pPr>
          </w:p>
          <w:p w14:paraId="416F4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本项目为新建项目，</w:t>
            </w:r>
            <w:r>
              <w:rPr>
                <w:rFonts w:hint="eastAsia" w:ascii="Times New Roman" w:hAnsi="Times New Roman" w:eastAsia="宋体" w:cs="Times New Roman"/>
                <w:color w:val="auto"/>
                <w:kern w:val="0"/>
                <w:sz w:val="24"/>
                <w:highlight w:val="none"/>
                <w:lang w:val="en-US" w:eastAsia="zh-CN"/>
              </w:rPr>
              <w:t>根据现场踏勘，项目主体工程及配套环保设施已建设完成，已建废气治理措施采用“</w:t>
            </w:r>
            <w:r>
              <w:rPr>
                <w:rFonts w:hint="default" w:ascii="Times New Roman" w:hAnsi="Times New Roman" w:eastAsia="宋体" w:cs="Times New Roman"/>
                <w:color w:val="auto"/>
                <w:kern w:val="0"/>
                <w:sz w:val="24"/>
                <w:highlight w:val="none"/>
                <w:lang w:val="en-US" w:eastAsia="zh-CN"/>
              </w:rPr>
              <w:t>陶瓷多管除尘+双碱法脱硫+15m高排气筒</w:t>
            </w:r>
            <w:r>
              <w:rPr>
                <w:rFonts w:hint="eastAsia" w:ascii="Times New Roman" w:hAnsi="Times New Roman" w:eastAsia="宋体" w:cs="Times New Roman"/>
                <w:color w:val="auto"/>
                <w:kern w:val="0"/>
                <w:sz w:val="24"/>
                <w:highlight w:val="none"/>
                <w:lang w:val="en-US" w:eastAsia="zh-CN"/>
              </w:rPr>
              <w:t>”，根据目前采用的环保措施进行核算，颗粒物排放浓度不能满足</w:t>
            </w:r>
            <w:r>
              <w:rPr>
                <w:rFonts w:hint="default" w:ascii="Times New Roman" w:hAnsi="Times New Roman" w:eastAsia="宋体" w:cs="Times New Roman"/>
                <w:color w:val="auto"/>
                <w:kern w:val="0"/>
                <w:sz w:val="24"/>
                <w:highlight w:val="none"/>
                <w:lang w:val="en-US" w:eastAsia="zh-CN"/>
              </w:rPr>
              <w:t>《锅炉大气污染物排放标准》（GB13271-2014）表</w:t>
            </w:r>
            <w:r>
              <w:rPr>
                <w:rFonts w:hint="eastAsia"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lang w:val="en-US" w:eastAsia="zh-CN"/>
              </w:rPr>
              <w:t>燃气锅炉</w:t>
            </w:r>
            <w:r>
              <w:rPr>
                <w:rFonts w:hint="eastAsia" w:ascii="Times New Roman" w:hAnsi="Times New Roman" w:eastAsia="宋体" w:cs="Times New Roman"/>
                <w:color w:val="auto"/>
                <w:kern w:val="0"/>
                <w:sz w:val="24"/>
                <w:highlight w:val="none"/>
                <w:lang w:val="en-US" w:eastAsia="zh-CN"/>
              </w:rPr>
              <w:t>特别</w:t>
            </w:r>
            <w:r>
              <w:rPr>
                <w:rFonts w:hint="default" w:ascii="Times New Roman" w:hAnsi="Times New Roman" w:eastAsia="宋体" w:cs="Times New Roman"/>
                <w:color w:val="auto"/>
                <w:kern w:val="0"/>
                <w:sz w:val="24"/>
                <w:highlight w:val="none"/>
                <w:lang w:val="en-US" w:eastAsia="zh-CN"/>
              </w:rPr>
              <w:t>排放限值</w:t>
            </w:r>
            <w:r>
              <w:rPr>
                <w:rFonts w:hint="eastAsia" w:ascii="Times New Roman" w:hAnsi="Times New Roman" w:eastAsia="宋体" w:cs="Times New Roman"/>
                <w:color w:val="auto"/>
                <w:kern w:val="0"/>
                <w:sz w:val="24"/>
                <w:highlight w:val="none"/>
                <w:lang w:val="en-US" w:eastAsia="zh-CN"/>
              </w:rPr>
              <w:t>要求，因此本次环评提出采用“</w:t>
            </w:r>
            <w:r>
              <w:rPr>
                <w:rFonts w:hint="default" w:ascii="Times New Roman" w:hAnsi="Times New Roman" w:eastAsia="宋体" w:cs="Times New Roman"/>
                <w:color w:val="auto"/>
                <w:kern w:val="0"/>
                <w:sz w:val="24"/>
                <w:highlight w:val="none"/>
                <w:lang w:val="en-US" w:eastAsia="zh-CN"/>
              </w:rPr>
              <w:t>陶瓷多管除尘+布袋除尘器</w:t>
            </w:r>
            <w:r>
              <w:rPr>
                <w:rFonts w:hint="eastAsia" w:ascii="Times New Roman" w:hAnsi="Times New Roman" w:eastAsia="宋体" w:cs="Times New Roman"/>
                <w:color w:val="auto"/>
                <w:kern w:val="0"/>
                <w:sz w:val="24"/>
                <w:highlight w:val="none"/>
                <w:lang w:val="en-US" w:eastAsia="zh-CN"/>
              </w:rPr>
              <w:t>”组合的除尘措施，以满足排放标准要求</w:t>
            </w:r>
            <w:r>
              <w:rPr>
                <w:rFonts w:hint="default" w:ascii="Times New Roman" w:hAnsi="Times New Roman" w:eastAsia="宋体" w:cs="Times New Roman"/>
                <w:color w:val="auto"/>
                <w:kern w:val="0"/>
                <w:sz w:val="24"/>
                <w:highlight w:val="none"/>
                <w:lang w:val="en-US"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8"/>
              <w:gridCol w:w="3909"/>
            </w:tblGrid>
            <w:tr w14:paraId="1EC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vAlign w:val="center"/>
                </w:tcPr>
                <w:p w14:paraId="0620BA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highlight w:val="none"/>
                      <w:vertAlign w:val="baseline"/>
                      <w:lang w:val="en-US" w:eastAsia="zh-CN"/>
                    </w:rPr>
                  </w:pPr>
                  <w:r>
                    <w:rPr>
                      <w:rFonts w:hint="default" w:ascii="Times New Roman" w:hAnsi="Times New Roman" w:eastAsia="宋体" w:cs="Times New Roman"/>
                      <w:color w:val="auto"/>
                      <w:kern w:val="0"/>
                      <w:sz w:val="24"/>
                      <w:highlight w:val="none"/>
                      <w:vertAlign w:val="baseline"/>
                      <w:lang w:val="en-US" w:eastAsia="zh-CN"/>
                    </w:rPr>
                    <w:drawing>
                      <wp:inline distT="0" distB="0" distL="114300" distR="114300">
                        <wp:extent cx="2357120" cy="3128010"/>
                        <wp:effectExtent l="0" t="0" r="0" b="0"/>
                        <wp:docPr id="1" name="图片 1" descr="IMG_20251107_16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07_162638"/>
                                <pic:cNvPicPr>
                                  <a:picLocks noChangeAspect="1"/>
                                </pic:cNvPicPr>
                              </pic:nvPicPr>
                              <pic:blipFill>
                                <a:blip r:embed="rId12"/>
                                <a:srcRect r="43487"/>
                                <a:stretch>
                                  <a:fillRect/>
                                </a:stretch>
                              </pic:blipFill>
                              <pic:spPr>
                                <a:xfrm>
                                  <a:off x="0" y="0"/>
                                  <a:ext cx="2357120" cy="3128010"/>
                                </a:xfrm>
                                <a:prstGeom prst="rect">
                                  <a:avLst/>
                                </a:prstGeom>
                              </pic:spPr>
                            </pic:pic>
                          </a:graphicData>
                        </a:graphic>
                      </wp:inline>
                    </w:drawing>
                  </w:r>
                </w:p>
              </w:tc>
              <w:tc>
                <w:tcPr>
                  <w:tcW w:w="3909" w:type="dxa"/>
                  <w:vAlign w:val="center"/>
                </w:tcPr>
                <w:p w14:paraId="5EBED7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highlight w:val="none"/>
                      <w:vertAlign w:val="baseline"/>
                      <w:lang w:val="en-US" w:eastAsia="zh-CN"/>
                    </w:rPr>
                  </w:pPr>
                  <w:r>
                    <w:rPr>
                      <w:rFonts w:hint="default" w:ascii="Times New Roman" w:hAnsi="Times New Roman" w:eastAsia="宋体" w:cs="Times New Roman"/>
                      <w:color w:val="auto"/>
                      <w:kern w:val="0"/>
                      <w:sz w:val="24"/>
                      <w:highlight w:val="none"/>
                      <w:vertAlign w:val="baseline"/>
                      <w:lang w:val="en-US" w:eastAsia="zh-CN"/>
                    </w:rPr>
                    <w:drawing>
                      <wp:inline distT="0" distB="0" distL="114300" distR="114300">
                        <wp:extent cx="2340610" cy="3120390"/>
                        <wp:effectExtent l="0" t="0" r="2540" b="3810"/>
                        <wp:docPr id="8" name="图片 8" descr="20251107162548321-77-103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51107162548321-77-1033750"/>
                                <pic:cNvPicPr>
                                  <a:picLocks noChangeAspect="1"/>
                                </pic:cNvPicPr>
                              </pic:nvPicPr>
                              <pic:blipFill>
                                <a:blip r:embed="rId13"/>
                                <a:stretch>
                                  <a:fillRect/>
                                </a:stretch>
                              </pic:blipFill>
                              <pic:spPr>
                                <a:xfrm>
                                  <a:off x="0" y="0"/>
                                  <a:ext cx="2340610" cy="3120390"/>
                                </a:xfrm>
                                <a:prstGeom prst="rect">
                                  <a:avLst/>
                                </a:prstGeom>
                              </pic:spPr>
                            </pic:pic>
                          </a:graphicData>
                        </a:graphic>
                      </wp:inline>
                    </w:drawing>
                  </w:r>
                </w:p>
              </w:tc>
            </w:tr>
            <w:tr w14:paraId="46C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vAlign w:val="center"/>
                </w:tcPr>
                <w:p w14:paraId="7F7642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已采取的除尘措施</w:t>
                  </w:r>
                </w:p>
              </w:tc>
              <w:tc>
                <w:tcPr>
                  <w:tcW w:w="3909" w:type="dxa"/>
                  <w:vAlign w:val="center"/>
                </w:tcPr>
                <w:p w14:paraId="720EE8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已采取的脱硫措施</w:t>
                  </w:r>
                </w:p>
              </w:tc>
            </w:tr>
          </w:tbl>
          <w:p w14:paraId="33DF4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0"/>
                <w:sz w:val="24"/>
                <w:highlight w:val="none"/>
                <w:lang w:val="en-US" w:eastAsia="zh-CN"/>
              </w:rPr>
            </w:pPr>
          </w:p>
          <w:p w14:paraId="77D12D52">
            <w:pPr>
              <w:rPr>
                <w:rFonts w:hint="default" w:ascii="Times New Roman" w:hAnsi="Times New Roman" w:cs="Times New Roman"/>
                <w:color w:val="auto"/>
                <w:highlight w:val="none"/>
                <w:lang w:eastAsia="zh-CN"/>
              </w:rPr>
            </w:pPr>
          </w:p>
          <w:p w14:paraId="40C80FA4">
            <w:pPr>
              <w:rPr>
                <w:rFonts w:hint="default" w:ascii="Times New Roman" w:hAnsi="Times New Roman" w:cs="Times New Roman"/>
                <w:color w:val="auto"/>
                <w:highlight w:val="none"/>
                <w:lang w:eastAsia="zh-CN"/>
              </w:rPr>
            </w:pPr>
          </w:p>
          <w:p w14:paraId="79B49607">
            <w:pPr>
              <w:rPr>
                <w:rFonts w:hint="default" w:ascii="Times New Roman" w:hAnsi="Times New Roman" w:cs="Times New Roman"/>
                <w:color w:val="auto"/>
                <w:highlight w:val="none"/>
                <w:lang w:eastAsia="zh-CN"/>
              </w:rPr>
            </w:pPr>
          </w:p>
          <w:p w14:paraId="139C1700">
            <w:pPr>
              <w:rPr>
                <w:rFonts w:hint="default" w:ascii="Times New Roman" w:hAnsi="Times New Roman" w:cs="Times New Roman"/>
                <w:color w:val="auto"/>
                <w:highlight w:val="none"/>
                <w:lang w:eastAsia="zh-CN"/>
              </w:rPr>
            </w:pPr>
          </w:p>
          <w:p w14:paraId="6065D4FA">
            <w:pPr>
              <w:rPr>
                <w:rFonts w:hint="default" w:ascii="Times New Roman" w:hAnsi="Times New Roman" w:cs="Times New Roman"/>
                <w:color w:val="auto"/>
                <w:highlight w:val="none"/>
                <w:lang w:eastAsia="zh-CN"/>
              </w:rPr>
            </w:pPr>
          </w:p>
          <w:p w14:paraId="62B01859">
            <w:pPr>
              <w:rPr>
                <w:rFonts w:hint="default" w:ascii="Times New Roman" w:hAnsi="Times New Roman" w:cs="Times New Roman"/>
                <w:color w:val="auto"/>
                <w:highlight w:val="none"/>
                <w:lang w:eastAsia="zh-CN"/>
              </w:rPr>
            </w:pPr>
          </w:p>
          <w:p w14:paraId="14632A5F">
            <w:pPr>
              <w:rPr>
                <w:rFonts w:hint="default" w:ascii="Times New Roman" w:hAnsi="Times New Roman" w:cs="Times New Roman"/>
                <w:color w:val="auto"/>
                <w:highlight w:val="none"/>
                <w:lang w:eastAsia="zh-CN"/>
              </w:rPr>
            </w:pPr>
          </w:p>
        </w:tc>
      </w:tr>
    </w:tbl>
    <w:p w14:paraId="55775EC1">
      <w:pPr>
        <w:pStyle w:val="10"/>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FC991C4">
      <w:pPr>
        <w:pStyle w:val="18"/>
        <w:ind w:firstLine="900" w:firstLineChars="300"/>
        <w:jc w:val="both"/>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3"/>
      </w:tblGrid>
      <w:tr w14:paraId="6E9DB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1" w:hRule="atLeast"/>
          <w:jc w:val="center"/>
        </w:trPr>
        <w:tc>
          <w:tcPr>
            <w:tcW w:w="698" w:type="dxa"/>
            <w:noWrap w:val="0"/>
            <w:vAlign w:val="center"/>
          </w:tcPr>
          <w:p w14:paraId="0E51163D">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区域</w:t>
            </w:r>
          </w:p>
          <w:p w14:paraId="2404FDFB">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14:paraId="2E86B428">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质量</w:t>
            </w:r>
          </w:p>
          <w:p w14:paraId="0A0AE038">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现状</w:t>
            </w:r>
          </w:p>
        </w:tc>
        <w:tc>
          <w:tcPr>
            <w:tcW w:w="8363" w:type="dxa"/>
            <w:noWrap w:val="0"/>
            <w:vAlign w:val="center"/>
          </w:tcPr>
          <w:p w14:paraId="02CAD7C3">
            <w:pPr>
              <w:pStyle w:val="7"/>
              <w:shd w:val="clear"/>
              <w:spacing w:before="0" w:beforeLines="0" w:after="0" w:afterLines="0" w:line="360" w:lineRule="auto"/>
              <w:ind w:firstLine="0" w:firstLineChars="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rPr>
              <w:t>1</w:t>
            </w:r>
            <w:r>
              <w:rPr>
                <w:rFonts w:hint="default" w:ascii="Times New Roman" w:hAnsi="Times New Roman"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rPr>
              <w:t>区域环境空气质量</w:t>
            </w:r>
            <w:r>
              <w:rPr>
                <w:rFonts w:hint="default" w:ascii="Times New Roman" w:hAnsi="Times New Roman" w:eastAsia="宋体" w:cs="Times New Roman"/>
                <w:color w:val="auto"/>
                <w:sz w:val="24"/>
                <w:szCs w:val="32"/>
                <w:highlight w:val="none"/>
                <w:lang w:val="en-US" w:eastAsia="zh-CN"/>
              </w:rPr>
              <w:t>现状评价</w:t>
            </w:r>
          </w:p>
          <w:p w14:paraId="39C329E1">
            <w:pPr>
              <w:pStyle w:val="33"/>
              <w:keepNext w:val="0"/>
              <w:keepLines w:val="0"/>
              <w:suppressLineNumbers w:val="0"/>
              <w:shd w:val="clear"/>
              <w:snapToGrid/>
              <w:spacing w:before="0" w:beforeAutospacing="0" w:after="0" w:afterAutospacing="0"/>
              <w:ind w:left="0" w:right="0" w:firstLine="0" w:firstLineChars="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rPr>
              <w:t>.1基本污染物</w:t>
            </w:r>
          </w:p>
          <w:p w14:paraId="562C0ABB">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（1）基本污染物数据来源</w:t>
            </w:r>
          </w:p>
          <w:p w14:paraId="19D5D804">
            <w:pPr>
              <w:bidi w:val="0"/>
              <w:adjustRightInd w:val="0"/>
              <w:snapToGrid w:val="0"/>
              <w:spacing w:line="360" w:lineRule="auto"/>
              <w:ind w:firstLine="476"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pacing w:val="-1"/>
                <w:sz w:val="24"/>
                <w:szCs w:val="24"/>
                <w:highlight w:val="none"/>
              </w:rPr>
              <w:t>根据《建设项目环境影响报告表编制技术指南（污染影响类</w:t>
            </w:r>
            <w:r>
              <w:rPr>
                <w:rFonts w:hint="default" w:ascii="Times New Roman" w:hAnsi="Times New Roman" w:cs="Times New Roman"/>
                <w:color w:val="auto"/>
                <w:spacing w:val="-31"/>
                <w:sz w:val="24"/>
                <w:szCs w:val="24"/>
                <w:highlight w:val="none"/>
              </w:rPr>
              <w:t>）（</w:t>
            </w:r>
            <w:r>
              <w:rPr>
                <w:rFonts w:hint="default" w:ascii="Times New Roman" w:hAnsi="Times New Roman" w:cs="Times New Roman"/>
                <w:color w:val="auto"/>
                <w:spacing w:val="-1"/>
                <w:sz w:val="24"/>
                <w:szCs w:val="24"/>
                <w:highlight w:val="none"/>
              </w:rPr>
              <w:t>试</w:t>
            </w:r>
            <w:r>
              <w:rPr>
                <w:rFonts w:hint="default" w:ascii="Times New Roman" w:hAnsi="Times New Roman" w:cs="Times New Roman"/>
                <w:color w:val="auto"/>
                <w:spacing w:val="-2"/>
                <w:sz w:val="24"/>
                <w:szCs w:val="24"/>
                <w:highlight w:val="none"/>
              </w:rPr>
              <w:t>行）》</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pacing w:val="-2"/>
                <w:sz w:val="24"/>
                <w:szCs w:val="24"/>
                <w:highlight w:val="none"/>
              </w:rPr>
              <w:t>要求，大气环境常规污染物引用与建设项目距离近</w:t>
            </w:r>
            <w:r>
              <w:rPr>
                <w:rFonts w:hint="default" w:ascii="Times New Roman" w:hAnsi="Times New Roman" w:cs="Times New Roman"/>
                <w:color w:val="auto"/>
                <w:spacing w:val="-3"/>
                <w:sz w:val="24"/>
                <w:szCs w:val="24"/>
                <w:highlight w:val="none"/>
              </w:rPr>
              <w:t>的有效数据，包括近</w:t>
            </w:r>
            <w:r>
              <w:rPr>
                <w:rFonts w:hint="default" w:ascii="Times New Roman" w:hAnsi="Times New Roman" w:eastAsia="Times New Roman" w:cs="Times New Roman"/>
                <w:color w:val="auto"/>
                <w:spacing w:val="-3"/>
                <w:sz w:val="24"/>
                <w:szCs w:val="24"/>
                <w:highlight w:val="none"/>
              </w:rPr>
              <w:t>3</w:t>
            </w:r>
            <w:r>
              <w:rPr>
                <w:rFonts w:hint="default" w:ascii="Times New Roman" w:hAnsi="Times New Roman" w:cs="Times New Roman"/>
                <w:color w:val="auto"/>
                <w:spacing w:val="-3"/>
                <w:sz w:val="24"/>
                <w:szCs w:val="24"/>
                <w:highlight w:val="none"/>
              </w:rPr>
              <w:t>年的</w:t>
            </w:r>
            <w:r>
              <w:rPr>
                <w:rFonts w:hint="default" w:ascii="Times New Roman" w:hAnsi="Times New Roman" w:cs="Times New Roman"/>
                <w:color w:val="auto"/>
                <w:spacing w:val="1"/>
                <w:sz w:val="24"/>
                <w:szCs w:val="24"/>
                <w:highlight w:val="none"/>
              </w:rPr>
              <w:t>规划环境影响评价的监测数据，国家、地方环境空气质量监测网数据或生态环境主管部门公开发布的质量数据等。本项目选择距离本项目最近的</w:t>
            </w:r>
            <w:r>
              <w:rPr>
                <w:rFonts w:hint="default" w:ascii="Times New Roman" w:hAnsi="Times New Roman" w:cs="Times New Roman"/>
                <w:color w:val="auto"/>
                <w:spacing w:val="1"/>
                <w:sz w:val="24"/>
                <w:szCs w:val="24"/>
                <w:highlight w:val="none"/>
                <w:lang w:val="en-US" w:eastAsia="zh-CN"/>
              </w:rPr>
              <w:t>克拉玛依</w:t>
            </w:r>
            <w:r>
              <w:rPr>
                <w:rFonts w:hint="default" w:ascii="Times New Roman" w:hAnsi="Times New Roman" w:cs="Times New Roman"/>
                <w:color w:val="auto"/>
                <w:spacing w:val="1"/>
                <w:sz w:val="24"/>
                <w:szCs w:val="24"/>
                <w:highlight w:val="none"/>
              </w:rPr>
              <w:t>市</w:t>
            </w:r>
            <w:r>
              <w:rPr>
                <w:rFonts w:hint="default" w:ascii="Times New Roman" w:hAnsi="Times New Roman" w:cs="Times New Roman"/>
                <w:color w:val="auto"/>
                <w:spacing w:val="-2"/>
                <w:sz w:val="24"/>
                <w:szCs w:val="24"/>
                <w:highlight w:val="none"/>
              </w:rPr>
              <w:t>监测点</w:t>
            </w:r>
            <w:r>
              <w:rPr>
                <w:rFonts w:hint="default" w:ascii="Times New Roman" w:hAnsi="Times New Roman" w:eastAsia="Times New Roman" w:cs="Times New Roman"/>
                <w:color w:val="auto"/>
                <w:spacing w:val="-2"/>
                <w:sz w:val="24"/>
                <w:szCs w:val="24"/>
                <w:highlight w:val="none"/>
              </w:rPr>
              <w:t>202</w:t>
            </w:r>
            <w:r>
              <w:rPr>
                <w:rFonts w:hint="default" w:ascii="Times New Roman" w:hAnsi="Times New Roman" w:eastAsia="宋体"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年基准年连续</w:t>
            </w:r>
            <w:r>
              <w:rPr>
                <w:rFonts w:hint="default" w:ascii="Times New Roman" w:hAnsi="Times New Roman" w:eastAsia="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年的监测数据。作为本项目环</w:t>
            </w:r>
            <w:r>
              <w:rPr>
                <w:rFonts w:hint="default" w:ascii="Times New Roman" w:hAnsi="Times New Roman" w:cs="Times New Roman"/>
                <w:color w:val="auto"/>
                <w:spacing w:val="-3"/>
                <w:sz w:val="24"/>
                <w:szCs w:val="24"/>
                <w:highlight w:val="none"/>
              </w:rPr>
              <w:t>境空气现状评价基</w:t>
            </w:r>
            <w:r>
              <w:rPr>
                <w:rFonts w:hint="default" w:ascii="Times New Roman" w:hAnsi="Times New Roman" w:cs="Times New Roman"/>
                <w:color w:val="auto"/>
                <w:spacing w:val="-4"/>
                <w:sz w:val="24"/>
                <w:szCs w:val="24"/>
                <w:highlight w:val="none"/>
              </w:rPr>
              <w:t>本污染物</w:t>
            </w:r>
            <w:r>
              <w:rPr>
                <w:rFonts w:hint="default" w:ascii="Times New Roman" w:hAnsi="Times New Roman" w:cs="Times New Roman"/>
                <w:color w:val="auto"/>
                <w:sz w:val="24"/>
                <w:szCs w:val="20"/>
                <w:highlight w:val="none"/>
              </w:rPr>
              <w:t>SO</w:t>
            </w:r>
            <w:r>
              <w:rPr>
                <w:rFonts w:hint="default" w:ascii="Times New Roman" w:hAnsi="Times New Roman" w:cs="Times New Roman"/>
                <w:color w:val="auto"/>
                <w:sz w:val="24"/>
                <w:szCs w:val="20"/>
                <w:highlight w:val="none"/>
                <w:vertAlign w:val="subscript"/>
              </w:rPr>
              <w:t>2</w:t>
            </w:r>
            <w:r>
              <w:rPr>
                <w:rFonts w:hint="default" w:ascii="Times New Roman" w:hAnsi="Times New Roman" w:cs="Times New Roman"/>
                <w:color w:val="auto"/>
                <w:sz w:val="24"/>
                <w:szCs w:val="20"/>
                <w:highlight w:val="none"/>
              </w:rPr>
              <w:t>、NO</w:t>
            </w:r>
            <w:r>
              <w:rPr>
                <w:rFonts w:hint="default" w:ascii="Times New Roman" w:hAnsi="Times New Roman" w:cs="Times New Roman"/>
                <w:color w:val="auto"/>
                <w:sz w:val="24"/>
                <w:szCs w:val="20"/>
                <w:highlight w:val="none"/>
                <w:vertAlign w:val="subscript"/>
              </w:rPr>
              <w:t>2</w:t>
            </w:r>
            <w:r>
              <w:rPr>
                <w:rFonts w:hint="default" w:ascii="Times New Roman" w:hAnsi="Times New Roman" w:cs="Times New Roman"/>
                <w:color w:val="auto"/>
                <w:sz w:val="24"/>
                <w:szCs w:val="20"/>
                <w:highlight w:val="none"/>
              </w:rPr>
              <w:t>、PM</w:t>
            </w:r>
            <w:r>
              <w:rPr>
                <w:rFonts w:hint="default" w:ascii="Times New Roman" w:hAnsi="Times New Roman" w:cs="Times New Roman"/>
                <w:color w:val="auto"/>
                <w:sz w:val="24"/>
                <w:szCs w:val="20"/>
                <w:highlight w:val="none"/>
                <w:vertAlign w:val="subscript"/>
              </w:rPr>
              <w:t>10</w:t>
            </w:r>
            <w:r>
              <w:rPr>
                <w:rFonts w:hint="default" w:ascii="Times New Roman" w:hAnsi="Times New Roman" w:cs="Times New Roman"/>
                <w:color w:val="auto"/>
                <w:sz w:val="24"/>
                <w:szCs w:val="20"/>
                <w:highlight w:val="none"/>
              </w:rPr>
              <w:t>、</w:t>
            </w:r>
            <w:r>
              <w:rPr>
                <w:rFonts w:hint="default" w:ascii="Times New Roman" w:hAnsi="Times New Roman" w:cs="Times New Roman"/>
                <w:b w:val="0"/>
                <w:bCs w:val="0"/>
                <w:i w:val="0"/>
                <w:iCs w:val="0"/>
                <w:color w:val="auto"/>
                <w:kern w:val="0"/>
                <w:sz w:val="24"/>
                <w:szCs w:val="24"/>
                <w:highlight w:val="none"/>
                <w:shd w:val="clear" w:color="auto" w:fill="auto"/>
                <w:lang w:val="en-US" w:eastAsia="zh-CN" w:bidi="ar-SA"/>
              </w:rPr>
              <w:t>PM</w:t>
            </w:r>
            <w:r>
              <w:rPr>
                <w:rFonts w:hint="default" w:ascii="Times New Roman" w:hAnsi="Times New Roman" w:cs="Times New Roman"/>
                <w:b w:val="0"/>
                <w:bCs w:val="0"/>
                <w:i w:val="0"/>
                <w:iCs w:val="0"/>
                <w:color w:val="auto"/>
                <w:kern w:val="0"/>
                <w:sz w:val="24"/>
                <w:szCs w:val="24"/>
                <w:highlight w:val="none"/>
                <w:shd w:val="clear" w:color="auto" w:fill="auto"/>
                <w:vertAlign w:val="subscript"/>
                <w:lang w:val="en-US" w:eastAsia="zh-CN" w:bidi="ar-SA"/>
              </w:rPr>
              <w:t>2.5</w:t>
            </w: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0"/>
                <w:highlight w:val="none"/>
              </w:rPr>
              <w:t>O和O</w:t>
            </w:r>
            <w:r>
              <w:rPr>
                <w:rFonts w:hint="default" w:ascii="Times New Roman" w:hAnsi="Times New Roman" w:cs="Times New Roman"/>
                <w:color w:val="auto"/>
                <w:sz w:val="24"/>
                <w:szCs w:val="20"/>
                <w:highlight w:val="none"/>
                <w:vertAlign w:val="subscript"/>
              </w:rPr>
              <w:t>3</w:t>
            </w:r>
            <w:r>
              <w:rPr>
                <w:rFonts w:hint="default" w:ascii="Times New Roman" w:hAnsi="Times New Roman" w:cs="Times New Roman"/>
                <w:color w:val="auto"/>
                <w:spacing w:val="-4"/>
                <w:sz w:val="24"/>
                <w:szCs w:val="24"/>
                <w:highlight w:val="none"/>
              </w:rPr>
              <w:t>的数据来源</w:t>
            </w:r>
            <w:r>
              <w:rPr>
                <w:rFonts w:hint="default" w:ascii="Times New Roman" w:hAnsi="Times New Roman" w:cs="Times New Roman"/>
                <w:color w:val="auto"/>
                <w:sz w:val="24"/>
                <w:highlight w:val="none"/>
              </w:rPr>
              <w:t>。</w:t>
            </w:r>
          </w:p>
          <w:p w14:paraId="78F7B050">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（2）评价标准</w:t>
            </w:r>
          </w:p>
          <w:p w14:paraId="3563BA02">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基本污染物SO</w:t>
            </w:r>
            <w:r>
              <w:rPr>
                <w:rFonts w:hint="default" w:ascii="Times New Roman" w:hAnsi="Times New Roman" w:cs="Times New Roman"/>
                <w:color w:val="auto"/>
                <w:sz w:val="24"/>
                <w:szCs w:val="22"/>
                <w:highlight w:val="none"/>
                <w:vertAlign w:val="subscript"/>
              </w:rPr>
              <w:t>2</w:t>
            </w:r>
            <w:r>
              <w:rPr>
                <w:rFonts w:hint="default" w:ascii="Times New Roman" w:hAnsi="Times New Roman" w:cs="Times New Roman"/>
                <w:color w:val="auto"/>
                <w:sz w:val="24"/>
                <w:szCs w:val="22"/>
                <w:highlight w:val="none"/>
              </w:rPr>
              <w:t>、NO</w:t>
            </w:r>
            <w:r>
              <w:rPr>
                <w:rFonts w:hint="default" w:ascii="Times New Roman" w:hAnsi="Times New Roman" w:cs="Times New Roman"/>
                <w:color w:val="auto"/>
                <w:sz w:val="24"/>
                <w:szCs w:val="22"/>
                <w:highlight w:val="none"/>
                <w:vertAlign w:val="subscript"/>
              </w:rPr>
              <w:t>2</w:t>
            </w:r>
            <w:r>
              <w:rPr>
                <w:rFonts w:hint="default" w:ascii="Times New Roman" w:hAnsi="Times New Roman" w:cs="Times New Roman"/>
                <w:color w:val="auto"/>
                <w:sz w:val="24"/>
                <w:szCs w:val="22"/>
                <w:highlight w:val="none"/>
              </w:rPr>
              <w:t>、PM</w:t>
            </w:r>
            <w:r>
              <w:rPr>
                <w:rFonts w:hint="default" w:ascii="Times New Roman" w:hAnsi="Times New Roman" w:cs="Times New Roman"/>
                <w:color w:val="auto"/>
                <w:sz w:val="24"/>
                <w:szCs w:val="22"/>
                <w:highlight w:val="none"/>
                <w:vertAlign w:val="subscript"/>
              </w:rPr>
              <w:t>10</w:t>
            </w:r>
            <w:r>
              <w:rPr>
                <w:rFonts w:hint="default" w:ascii="Times New Roman" w:hAnsi="Times New Roman" w:cs="Times New Roman"/>
                <w:color w:val="auto"/>
                <w:sz w:val="24"/>
                <w:szCs w:val="22"/>
                <w:highlight w:val="none"/>
              </w:rPr>
              <w:t>、PM</w:t>
            </w:r>
            <w:r>
              <w:rPr>
                <w:rFonts w:hint="default" w:ascii="Times New Roman" w:hAnsi="Times New Roman" w:cs="Times New Roman"/>
                <w:color w:val="auto"/>
                <w:sz w:val="24"/>
                <w:szCs w:val="22"/>
                <w:highlight w:val="none"/>
                <w:vertAlign w:val="subscript"/>
              </w:rPr>
              <w:t>2.5</w:t>
            </w:r>
            <w:r>
              <w:rPr>
                <w:rFonts w:hint="default" w:ascii="Times New Roman" w:hAnsi="Times New Roman" w:cs="Times New Roman"/>
                <w:color w:val="auto"/>
                <w:sz w:val="24"/>
                <w:szCs w:val="22"/>
                <w:highlight w:val="none"/>
              </w:rPr>
              <w:t>、CO和O</w:t>
            </w:r>
            <w:r>
              <w:rPr>
                <w:rFonts w:hint="default" w:ascii="Times New Roman" w:hAnsi="Times New Roman" w:cs="Times New Roman"/>
                <w:color w:val="auto"/>
                <w:sz w:val="24"/>
                <w:szCs w:val="22"/>
                <w:highlight w:val="none"/>
                <w:vertAlign w:val="subscript"/>
              </w:rPr>
              <w:t>3</w:t>
            </w:r>
            <w:r>
              <w:rPr>
                <w:rFonts w:hint="default" w:ascii="Times New Roman" w:hAnsi="Times New Roman" w:cs="Times New Roman"/>
                <w:color w:val="auto"/>
                <w:sz w:val="24"/>
                <w:szCs w:val="22"/>
                <w:highlight w:val="none"/>
              </w:rPr>
              <w:t>执行《环境空气质量标准》（GB3095-2012）及其</w:t>
            </w:r>
            <w:r>
              <w:rPr>
                <w:rFonts w:hint="default" w:ascii="Times New Roman" w:hAnsi="Times New Roman" w:cs="Times New Roman"/>
                <w:color w:val="auto"/>
                <w:kern w:val="0"/>
                <w:sz w:val="24"/>
                <w:highlight w:val="none"/>
                <w:lang w:bidi="ar"/>
              </w:rPr>
              <w:t>修改单“生态环境部2018年第29</w:t>
            </w:r>
            <w:r>
              <w:rPr>
                <w:rFonts w:hint="default" w:ascii="Times New Roman" w:hAnsi="Times New Roman" w:cs="Times New Roman"/>
                <w:color w:val="auto"/>
                <w:sz w:val="24"/>
                <w:szCs w:val="22"/>
                <w:highlight w:val="none"/>
              </w:rPr>
              <w:t>号</w:t>
            </w:r>
            <w:r>
              <w:rPr>
                <w:rFonts w:hint="default" w:ascii="Times New Roman" w:hAnsi="Times New Roman" w:cs="Times New Roman"/>
                <w:color w:val="auto"/>
                <w:kern w:val="0"/>
                <w:sz w:val="24"/>
                <w:highlight w:val="none"/>
                <w:lang w:bidi="ar"/>
              </w:rPr>
              <w:t>”</w:t>
            </w:r>
            <w:r>
              <w:rPr>
                <w:rFonts w:hint="default" w:ascii="Times New Roman" w:hAnsi="Times New Roman" w:cs="Times New Roman"/>
                <w:color w:val="auto"/>
                <w:sz w:val="24"/>
                <w:szCs w:val="22"/>
                <w:highlight w:val="none"/>
              </w:rPr>
              <w:t>中的二级标准。</w:t>
            </w:r>
          </w:p>
          <w:p w14:paraId="3179D0C1">
            <w:pPr>
              <w:numPr>
                <w:ilvl w:val="0"/>
                <w:numId w:val="2"/>
              </w:numPr>
              <w:bidi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评价方法</w:t>
            </w:r>
          </w:p>
          <w:p w14:paraId="3FE08AC6">
            <w:pPr>
              <w:numPr>
                <w:ilvl w:val="0"/>
                <w:numId w:val="0"/>
              </w:numPr>
              <w:bidi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14:paraId="7291B9A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w:t>
            </w:r>
            <w:r>
              <w:rPr>
                <w:rFonts w:hint="default" w:ascii="Times New Roman" w:hAnsi="Times New Roman" w:cs="Times New Roman"/>
                <w:color w:val="auto"/>
                <w:sz w:val="24"/>
                <w:szCs w:val="22"/>
                <w:highlight w:val="none"/>
                <w:lang w:val="en-US" w:eastAsia="zh-CN"/>
              </w:rPr>
              <w:t>4</w:t>
            </w:r>
            <w:r>
              <w:rPr>
                <w:rFonts w:hint="default" w:ascii="Times New Roman" w:hAnsi="Times New Roman" w:cs="Times New Roman"/>
                <w:color w:val="auto"/>
                <w:sz w:val="24"/>
                <w:szCs w:val="22"/>
                <w:highlight w:val="none"/>
              </w:rPr>
              <w:t>）空气质量达标区判定</w:t>
            </w:r>
          </w:p>
          <w:p w14:paraId="7510070D">
            <w:pPr>
              <w:bidi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根据克拉玛依市监测点2024年空气质量统计结果，空气质量达标区判定结果见表</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w:t>
            </w:r>
          </w:p>
          <w:p w14:paraId="0EC03099">
            <w:pPr>
              <w:pStyle w:val="35"/>
              <w:adjustRightInd/>
              <w:snapToGrid/>
              <w:spacing w:before="0" w:beforeAutospacing="0" w:after="0" w:afterAutospacing="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表3-1  区域空气质量现状监测数据统计表</w:t>
            </w:r>
          </w:p>
          <w:tbl>
            <w:tblPr>
              <w:tblStyle w:val="1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59"/>
              <w:gridCol w:w="1131"/>
              <w:gridCol w:w="1138"/>
              <w:gridCol w:w="916"/>
              <w:gridCol w:w="890"/>
            </w:tblGrid>
            <w:tr w14:paraId="443D22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bottom w:val="single" w:color="auto" w:sz="4" w:space="0"/>
                    <w:right w:val="single" w:color="auto" w:sz="4" w:space="0"/>
                  </w:tcBorders>
                  <w:noWrap w:val="0"/>
                  <w:vAlign w:val="center"/>
                </w:tcPr>
                <w:p w14:paraId="3E254BE5">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1817" w:type="pct"/>
                  <w:tcBorders>
                    <w:left w:val="single" w:color="auto" w:sz="4" w:space="0"/>
                    <w:bottom w:val="single" w:color="auto" w:sz="4" w:space="0"/>
                    <w:right w:val="single" w:color="auto" w:sz="4" w:space="0"/>
                  </w:tcBorders>
                  <w:noWrap w:val="0"/>
                  <w:vAlign w:val="center"/>
                </w:tcPr>
                <w:p w14:paraId="65599253">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年评价指标</w:t>
                  </w:r>
                </w:p>
              </w:tc>
              <w:tc>
                <w:tcPr>
                  <w:tcW w:w="694" w:type="pct"/>
                  <w:tcBorders>
                    <w:left w:val="single" w:color="auto" w:sz="4" w:space="0"/>
                    <w:bottom w:val="single" w:color="auto" w:sz="4" w:space="0"/>
                    <w:right w:val="single" w:color="auto" w:sz="4" w:space="0"/>
                  </w:tcBorders>
                  <w:noWrap w:val="0"/>
                  <w:vAlign w:val="center"/>
                </w:tcPr>
                <w:p w14:paraId="1CD29044">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现状浓度（μg/m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698" w:type="pct"/>
                  <w:tcBorders>
                    <w:left w:val="single" w:color="auto" w:sz="4" w:space="0"/>
                    <w:bottom w:val="single" w:color="auto" w:sz="4" w:space="0"/>
                    <w:right w:val="single" w:color="auto" w:sz="4" w:space="0"/>
                  </w:tcBorders>
                  <w:noWrap w:val="0"/>
                  <w:vAlign w:val="center"/>
                </w:tcPr>
                <w:p w14:paraId="57E0A0A2">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标准值（μg/m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562" w:type="pct"/>
                  <w:tcBorders>
                    <w:left w:val="single" w:color="auto" w:sz="4" w:space="0"/>
                    <w:bottom w:val="single" w:color="auto" w:sz="4" w:space="0"/>
                    <w:right w:val="single" w:color="auto" w:sz="4" w:space="0"/>
                  </w:tcBorders>
                  <w:noWrap w:val="0"/>
                  <w:vAlign w:val="center"/>
                </w:tcPr>
                <w:p w14:paraId="741AE92D">
                  <w:pPr>
                    <w:widowControl/>
                    <w:topLinePunct/>
                    <w:autoSpaceDE w:val="0"/>
                    <w:autoSpaceDN w:val="0"/>
                    <w:adjustRightInd w:val="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占标率</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eastAsia="zh-CN"/>
                    </w:rPr>
                    <w:t>）</w:t>
                  </w:r>
                </w:p>
              </w:tc>
              <w:tc>
                <w:tcPr>
                  <w:tcW w:w="546" w:type="pct"/>
                  <w:tcBorders>
                    <w:left w:val="single" w:color="auto" w:sz="4" w:space="0"/>
                    <w:bottom w:val="single" w:color="auto" w:sz="4" w:space="0"/>
                  </w:tcBorders>
                  <w:noWrap w:val="0"/>
                  <w:vAlign w:val="center"/>
                </w:tcPr>
                <w:p w14:paraId="61B1470C">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达标情况</w:t>
                  </w:r>
                </w:p>
              </w:tc>
            </w:tr>
            <w:tr w14:paraId="78A1DF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bottom w:val="single" w:color="auto" w:sz="4" w:space="0"/>
                    <w:right w:val="single" w:color="auto" w:sz="4" w:space="0"/>
                  </w:tcBorders>
                  <w:noWrap w:val="0"/>
                  <w:vAlign w:val="center"/>
                </w:tcPr>
                <w:p w14:paraId="164FD8E1">
                  <w:pPr>
                    <w:widowControl/>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513CFB86">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2A658251">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2271E847">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3738DA8B">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11.7</w:t>
                  </w:r>
                </w:p>
              </w:tc>
              <w:tc>
                <w:tcPr>
                  <w:tcW w:w="546" w:type="pct"/>
                  <w:tcBorders>
                    <w:top w:val="single" w:color="auto" w:sz="4" w:space="0"/>
                    <w:left w:val="single" w:color="auto" w:sz="4" w:space="0"/>
                    <w:bottom w:val="single" w:color="auto" w:sz="4" w:space="0"/>
                  </w:tcBorders>
                  <w:noWrap w:val="0"/>
                  <w:vAlign w:val="center"/>
                </w:tcPr>
                <w:p w14:paraId="404788B5">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000274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bottom w:val="single" w:color="auto" w:sz="4" w:space="0"/>
                    <w:right w:val="single" w:color="auto" w:sz="4" w:space="0"/>
                  </w:tcBorders>
                  <w:noWrap w:val="0"/>
                  <w:vAlign w:val="center"/>
                </w:tcPr>
                <w:p w14:paraId="0A83F66F">
                  <w:pPr>
                    <w:widowControl/>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2</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0D6F39D8">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7970A59">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6C538653">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27B781B1">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42.5</w:t>
                  </w:r>
                </w:p>
              </w:tc>
              <w:tc>
                <w:tcPr>
                  <w:tcW w:w="546" w:type="pct"/>
                  <w:tcBorders>
                    <w:top w:val="single" w:color="auto" w:sz="4" w:space="0"/>
                    <w:left w:val="single" w:color="auto" w:sz="4" w:space="0"/>
                    <w:bottom w:val="single" w:color="auto" w:sz="4" w:space="0"/>
                  </w:tcBorders>
                  <w:noWrap w:val="0"/>
                  <w:vAlign w:val="center"/>
                </w:tcPr>
                <w:p w14:paraId="61AB7393">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494745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bottom w:val="single" w:color="auto" w:sz="4" w:space="0"/>
                    <w:right w:val="single" w:color="auto" w:sz="4" w:space="0"/>
                  </w:tcBorders>
                  <w:noWrap w:val="0"/>
                  <w:vAlign w:val="center"/>
                </w:tcPr>
                <w:p w14:paraId="3528CDF1">
                  <w:pPr>
                    <w:widowControl/>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10</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2F7B8B45">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年平均质量浓度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73CD0287">
                  <w:pPr>
                    <w:widowControl/>
                    <w:autoSpaceDE w:val="0"/>
                    <w:autoSpaceDN w:val="0"/>
                    <w:adjustRightIn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39</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2258B079">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70</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68C505C3">
                  <w:pPr>
                    <w:widowControl/>
                    <w:autoSpaceDE w:val="0"/>
                    <w:autoSpaceDN w:val="0"/>
                    <w:adjustRightIn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55.7</w:t>
                  </w:r>
                </w:p>
              </w:tc>
              <w:tc>
                <w:tcPr>
                  <w:tcW w:w="546" w:type="pct"/>
                  <w:tcBorders>
                    <w:top w:val="single" w:color="auto" w:sz="4" w:space="0"/>
                    <w:left w:val="single" w:color="auto" w:sz="4" w:space="0"/>
                    <w:bottom w:val="single" w:color="auto" w:sz="4" w:space="0"/>
                  </w:tcBorders>
                  <w:noWrap w:val="0"/>
                  <w:vAlign w:val="center"/>
                </w:tcPr>
                <w:p w14:paraId="76AF27B6">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达标</w:t>
                  </w:r>
                </w:p>
              </w:tc>
            </w:tr>
            <w:tr w14:paraId="02C381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bottom w:val="single" w:color="auto" w:sz="4" w:space="0"/>
                    <w:right w:val="single" w:color="auto" w:sz="4" w:space="0"/>
                  </w:tcBorders>
                  <w:noWrap w:val="0"/>
                  <w:vAlign w:val="center"/>
                </w:tcPr>
                <w:p w14:paraId="4D454639">
                  <w:pPr>
                    <w:widowControl/>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2.5</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71D6AC36">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年平均质量浓度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49C71F4">
                  <w:pPr>
                    <w:widowControl/>
                    <w:autoSpaceDE w:val="0"/>
                    <w:autoSpaceDN w:val="0"/>
                    <w:adjustRightIn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22</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42D04135">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35</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335AE79C">
                  <w:pPr>
                    <w:widowControl/>
                    <w:autoSpaceDE w:val="0"/>
                    <w:autoSpaceDN w:val="0"/>
                    <w:adjustRightIn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62.9</w:t>
                  </w:r>
                </w:p>
              </w:tc>
              <w:tc>
                <w:tcPr>
                  <w:tcW w:w="546" w:type="pct"/>
                  <w:tcBorders>
                    <w:top w:val="single" w:color="auto" w:sz="4" w:space="0"/>
                    <w:left w:val="single" w:color="auto" w:sz="4" w:space="0"/>
                    <w:bottom w:val="single" w:color="auto" w:sz="4" w:space="0"/>
                  </w:tcBorders>
                  <w:noWrap w:val="0"/>
                  <w:vAlign w:val="center"/>
                </w:tcPr>
                <w:p w14:paraId="4B4595B1">
                  <w:pPr>
                    <w:widowControl/>
                    <w:topLinePunct/>
                    <w:autoSpaceDE w:val="0"/>
                    <w:autoSpaceDN w:val="0"/>
                    <w:adjustRightInd w:val="0"/>
                    <w:jc w:val="center"/>
                    <w:textAlignment w:val="baseline"/>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达标</w:t>
                  </w:r>
                </w:p>
              </w:tc>
            </w:tr>
            <w:tr w14:paraId="67EA1F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bottom w:val="single" w:color="auto" w:sz="4" w:space="0"/>
                    <w:right w:val="single" w:color="auto" w:sz="4" w:space="0"/>
                  </w:tcBorders>
                  <w:noWrap w:val="0"/>
                  <w:vAlign w:val="center"/>
                </w:tcPr>
                <w:p w14:paraId="54221A02">
                  <w:pPr>
                    <w:widowControl/>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1E0A6FED">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24h</w:t>
                  </w:r>
                  <w:r>
                    <w:rPr>
                      <w:rFonts w:hint="default" w:ascii="Times New Roman" w:hAnsi="Times New Roman" w:cs="Times New Roman"/>
                      <w:color w:val="auto"/>
                      <w:sz w:val="21"/>
                      <w:szCs w:val="21"/>
                      <w:highlight w:val="none"/>
                    </w:rPr>
                    <w:t>平均第95百分位数浓度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FAA9825">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D7DB99E">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4000</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14B2200C">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w:t>
                  </w:r>
                </w:p>
              </w:tc>
              <w:tc>
                <w:tcPr>
                  <w:tcW w:w="546" w:type="pct"/>
                  <w:tcBorders>
                    <w:top w:val="single" w:color="auto" w:sz="4" w:space="0"/>
                    <w:left w:val="single" w:color="auto" w:sz="4" w:space="0"/>
                    <w:bottom w:val="single" w:color="auto" w:sz="4" w:space="0"/>
                  </w:tcBorders>
                  <w:noWrap w:val="0"/>
                  <w:vAlign w:val="center"/>
                </w:tcPr>
                <w:p w14:paraId="0D7CAC8C">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690C6E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pct"/>
                  <w:tcBorders>
                    <w:top w:val="single" w:color="auto" w:sz="4" w:space="0"/>
                    <w:right w:val="single" w:color="auto" w:sz="4" w:space="0"/>
                  </w:tcBorders>
                  <w:noWrap w:val="0"/>
                  <w:vAlign w:val="center"/>
                </w:tcPr>
                <w:p w14:paraId="139C4CB9">
                  <w:pPr>
                    <w:widowControl/>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vertAlign w:val="subscript"/>
                    </w:rPr>
                    <w:t>3</w:t>
                  </w:r>
                </w:p>
              </w:tc>
              <w:tc>
                <w:tcPr>
                  <w:tcW w:w="1817" w:type="pct"/>
                  <w:tcBorders>
                    <w:top w:val="single" w:color="auto" w:sz="4" w:space="0"/>
                    <w:left w:val="single" w:color="auto" w:sz="4" w:space="0"/>
                    <w:right w:val="single" w:color="auto" w:sz="4" w:space="0"/>
                  </w:tcBorders>
                  <w:noWrap w:val="0"/>
                  <w:vAlign w:val="center"/>
                </w:tcPr>
                <w:p w14:paraId="0EF581D5">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日</w:t>
                  </w:r>
                  <w:r>
                    <w:rPr>
                      <w:rFonts w:hint="default" w:ascii="Times New Roman" w:hAnsi="Times New Roman" w:cs="Times New Roman"/>
                      <w:color w:val="auto"/>
                      <w:sz w:val="21"/>
                      <w:szCs w:val="21"/>
                      <w:highlight w:val="none"/>
                    </w:rPr>
                    <w:t>最大8小时平均第90百分位数浓度</w:t>
                  </w:r>
                </w:p>
              </w:tc>
              <w:tc>
                <w:tcPr>
                  <w:tcW w:w="694" w:type="pct"/>
                  <w:tcBorders>
                    <w:top w:val="single" w:color="auto" w:sz="4" w:space="0"/>
                    <w:left w:val="single" w:color="auto" w:sz="4" w:space="0"/>
                    <w:right w:val="single" w:color="auto" w:sz="4" w:space="0"/>
                  </w:tcBorders>
                  <w:noWrap w:val="0"/>
                  <w:vAlign w:val="center"/>
                </w:tcPr>
                <w:p w14:paraId="6BCAE70C">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121</w:t>
                  </w:r>
                </w:p>
              </w:tc>
              <w:tc>
                <w:tcPr>
                  <w:tcW w:w="698" w:type="pct"/>
                  <w:tcBorders>
                    <w:top w:val="single" w:color="auto" w:sz="4" w:space="0"/>
                    <w:left w:val="single" w:color="auto" w:sz="4" w:space="0"/>
                    <w:right w:val="single" w:color="auto" w:sz="4" w:space="0"/>
                  </w:tcBorders>
                  <w:noWrap w:val="0"/>
                  <w:vAlign w:val="center"/>
                </w:tcPr>
                <w:p w14:paraId="59487974">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w:t>
                  </w:r>
                </w:p>
              </w:tc>
              <w:tc>
                <w:tcPr>
                  <w:tcW w:w="562" w:type="pct"/>
                  <w:tcBorders>
                    <w:top w:val="single" w:color="auto" w:sz="4" w:space="0"/>
                    <w:left w:val="single" w:color="auto" w:sz="4" w:space="0"/>
                    <w:right w:val="single" w:color="auto" w:sz="4" w:space="0"/>
                  </w:tcBorders>
                  <w:noWrap w:val="0"/>
                  <w:vAlign w:val="center"/>
                </w:tcPr>
                <w:p w14:paraId="142910D8">
                  <w:pPr>
                    <w:widowControl/>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75.6</w:t>
                  </w:r>
                </w:p>
              </w:tc>
              <w:tc>
                <w:tcPr>
                  <w:tcW w:w="546" w:type="pct"/>
                  <w:tcBorders>
                    <w:top w:val="single" w:color="auto" w:sz="4" w:space="0"/>
                    <w:left w:val="single" w:color="auto" w:sz="4" w:space="0"/>
                  </w:tcBorders>
                  <w:noWrap w:val="0"/>
                  <w:vAlign w:val="center"/>
                </w:tcPr>
                <w:p w14:paraId="6FB5CA35">
                  <w:pPr>
                    <w:widowControl/>
                    <w:topLinePunct/>
                    <w:autoSpaceDE w:val="0"/>
                    <w:autoSpaceDN w:val="0"/>
                    <w:adjustRightInd w:val="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14:paraId="2CA43CB5">
            <w:pPr>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项目选址区域环境空气中</w:t>
            </w:r>
            <w:r>
              <w:rPr>
                <w:rFonts w:hint="default" w:ascii="Times New Roman" w:hAnsi="Times New Roman" w:cs="Times New Roman"/>
                <w:color w:val="auto"/>
                <w:sz w:val="24"/>
                <w:highlight w:val="none"/>
                <w:lang w:val="en-US" w:eastAsia="zh-CN"/>
              </w:rPr>
              <w:t>SO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、NO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PM</w:t>
            </w:r>
            <w:r>
              <w:rPr>
                <w:rFonts w:hint="default" w:ascii="Times New Roman" w:hAnsi="Times New Roman" w:eastAsia="宋体" w:cs="Times New Roman"/>
                <w:color w:val="auto"/>
                <w:sz w:val="24"/>
                <w:highlight w:val="none"/>
                <w:vertAlign w:val="subscript"/>
                <w:lang w:val="en-US" w:eastAsia="zh-CN"/>
              </w:rPr>
              <w:t>2.5</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PM</w:t>
            </w:r>
            <w:r>
              <w:rPr>
                <w:rFonts w:hint="default" w:ascii="Times New Roman" w:hAnsi="Times New Roman" w:eastAsia="宋体" w:cs="Times New Roman"/>
                <w:color w:val="auto"/>
                <w:sz w:val="24"/>
                <w:highlight w:val="none"/>
                <w:vertAlign w:val="subscript"/>
                <w:lang w:val="en-US" w:eastAsia="zh-CN"/>
              </w:rPr>
              <w:t>10</w:t>
            </w:r>
            <w:r>
              <w:rPr>
                <w:rFonts w:hint="default" w:ascii="Times New Roman" w:hAnsi="Times New Roman" w:eastAsia="宋体" w:cs="Times New Roman"/>
                <w:color w:val="auto"/>
                <w:sz w:val="24"/>
                <w:highlight w:val="none"/>
                <w:lang w:val="en-US" w:eastAsia="zh-CN"/>
              </w:rPr>
              <w:t>年平均</w:t>
            </w:r>
            <w:r>
              <w:rPr>
                <w:rFonts w:hint="default" w:ascii="Times New Roman" w:hAnsi="Times New Roman" w:cs="Times New Roman"/>
                <w:color w:val="auto"/>
                <w:sz w:val="24"/>
                <w:highlight w:val="none"/>
                <w:lang w:val="en-US" w:eastAsia="zh-CN"/>
              </w:rPr>
              <w:t>，CO的95百分位24小时平均、O</w:t>
            </w:r>
            <w:r>
              <w:rPr>
                <w:rFonts w:hint="default" w:ascii="Times New Roman" w:hAnsi="Times New Roman" w:cs="Times New Roman"/>
                <w:color w:val="auto"/>
                <w:sz w:val="24"/>
                <w:highlight w:val="none"/>
                <w:vertAlign w:val="subscript"/>
                <w:lang w:val="en-US" w:eastAsia="zh-CN"/>
              </w:rPr>
              <w:t>3</w:t>
            </w:r>
            <w:r>
              <w:rPr>
                <w:rFonts w:hint="default" w:ascii="Times New Roman" w:hAnsi="Times New Roman" w:cs="Times New Roman"/>
                <w:color w:val="auto"/>
                <w:sz w:val="24"/>
                <w:highlight w:val="none"/>
                <w:lang w:val="en-US" w:eastAsia="zh-CN"/>
              </w:rPr>
              <w:t>的90百分位8小时平均</w:t>
            </w:r>
            <w:r>
              <w:rPr>
                <w:rFonts w:hint="default" w:ascii="Times New Roman" w:hAnsi="Times New Roman" w:eastAsia="宋体" w:cs="Times New Roman"/>
                <w:color w:val="auto"/>
                <w:sz w:val="24"/>
                <w:highlight w:val="none"/>
                <w:lang w:val="en-US" w:eastAsia="zh-CN"/>
              </w:rPr>
              <w:t>浓度</w:t>
            </w:r>
            <w:r>
              <w:rPr>
                <w:rFonts w:hint="default" w:ascii="Times New Roman" w:hAnsi="Times New Roman" w:cs="Times New Roman"/>
                <w:color w:val="auto"/>
                <w:sz w:val="24"/>
                <w:highlight w:val="none"/>
                <w:lang w:val="en-US" w:eastAsia="zh-CN"/>
              </w:rPr>
              <w:t>值</w:t>
            </w:r>
            <w:r>
              <w:rPr>
                <w:rFonts w:hint="default" w:ascii="Times New Roman" w:hAnsi="Times New Roman" w:eastAsia="宋体" w:cs="Times New Roman"/>
                <w:color w:val="auto"/>
                <w:sz w:val="24"/>
                <w:highlight w:val="none"/>
                <w:lang w:val="en-US" w:eastAsia="zh-CN"/>
              </w:rPr>
              <w:t>均</w:t>
            </w:r>
            <w:r>
              <w:rPr>
                <w:rFonts w:hint="default" w:ascii="Times New Roman" w:hAnsi="Times New Roman" w:cs="Times New Roman"/>
                <w:color w:val="auto"/>
                <w:sz w:val="24"/>
                <w:highlight w:val="none"/>
                <w:lang w:val="en-US" w:eastAsia="zh-CN"/>
              </w:rPr>
              <w:t>满足</w:t>
            </w:r>
            <w:r>
              <w:rPr>
                <w:rFonts w:hint="default" w:ascii="Times New Roman" w:hAnsi="Times New Roman" w:eastAsia="宋体" w:cs="Times New Roman"/>
                <w:color w:val="auto"/>
                <w:sz w:val="24"/>
                <w:highlight w:val="none"/>
                <w:lang w:val="en-US" w:eastAsia="zh-CN"/>
              </w:rPr>
              <w:t>《环境空气质量标准》（GB3095-2012）及其修改单中的二级标准要求，</w:t>
            </w:r>
            <w:r>
              <w:rPr>
                <w:rFonts w:hint="default" w:ascii="Times New Roman" w:hAnsi="Times New Roman" w:cs="Times New Roman"/>
                <w:color w:val="auto"/>
                <w:sz w:val="24"/>
                <w:highlight w:val="none"/>
              </w:rPr>
              <w:t>因此区域为大气环境质量</w:t>
            </w:r>
            <w:r>
              <w:rPr>
                <w:rFonts w:hint="default" w:ascii="Times New Roman" w:hAnsi="Times New Roman" w:eastAsia="宋体" w:cs="Times New Roman"/>
                <w:color w:val="auto"/>
                <w:sz w:val="24"/>
                <w:highlight w:val="none"/>
              </w:rPr>
              <w:t>达标区。</w:t>
            </w:r>
          </w:p>
          <w:p w14:paraId="40FAD7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1.2特征污染物环境质量状况调查</w:t>
            </w:r>
          </w:p>
          <w:p w14:paraId="24F9AAEE">
            <w:pPr>
              <w:autoSpaceDE w:val="0"/>
              <w:autoSpaceDN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根据《建设项目环境影响报告表编制技术指南（污染影响类）（试行）》：排放国家、地方环境空气质量标准中有标准限值要求的特征污染物时，引用建设项目周边</w:t>
            </w:r>
            <w:r>
              <w:rPr>
                <w:rFonts w:hint="default" w:ascii="Times New Roman" w:hAnsi="Times New Roman" w:eastAsia="TimesNewRomanPSMT"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千米范围内近</w:t>
            </w:r>
            <w:r>
              <w:rPr>
                <w:rFonts w:hint="default" w:ascii="Times New Roman" w:hAnsi="Times New Roman" w:eastAsia="TimesNewRomanPSMT"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年的现有监测数据，无相关数据的选择当季主导风向下风向</w:t>
            </w:r>
            <w:r>
              <w:rPr>
                <w:rFonts w:hint="default" w:ascii="Times New Roman" w:hAnsi="Times New Roman" w:eastAsia="TimesNewRomanPSMT"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个点位补充不少于</w:t>
            </w:r>
            <w:r>
              <w:rPr>
                <w:rFonts w:hint="default" w:ascii="Times New Roman" w:hAnsi="Times New Roman" w:eastAsia="TimesNewRomanPSMT"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天的监测数</w:t>
            </w:r>
            <w:r>
              <w:rPr>
                <w:rFonts w:hint="default" w:ascii="Times New Roman" w:hAnsi="Times New Roman" w:eastAsia="宋体" w:cs="Times New Roman"/>
                <w:color w:val="auto"/>
                <w:sz w:val="24"/>
                <w:szCs w:val="24"/>
                <w:highlight w:val="none"/>
                <w:lang w:val="en-US" w:eastAsia="zh-CN"/>
              </w:rPr>
              <w:t>据。本项目特征因子主要为TSP</w:t>
            </w:r>
            <w:r>
              <w:rPr>
                <w:rFonts w:hint="default" w:ascii="Times New Roman" w:hAnsi="Times New Roman" w:cs="Times New Roman"/>
                <w:color w:val="auto"/>
                <w:sz w:val="24"/>
                <w:szCs w:val="24"/>
                <w:highlight w:val="none"/>
                <w:lang w:val="en-US" w:eastAsia="zh-CN"/>
              </w:rPr>
              <w:t>和氮氧化物</w:t>
            </w:r>
            <w:r>
              <w:rPr>
                <w:rFonts w:hint="default" w:ascii="Times New Roman" w:hAnsi="Times New Roman" w:eastAsia="宋体" w:cs="Times New Roman"/>
                <w:color w:val="auto"/>
                <w:sz w:val="24"/>
                <w:szCs w:val="24"/>
                <w:highlight w:val="none"/>
                <w:lang w:val="en-US" w:eastAsia="zh-CN"/>
              </w:rPr>
              <w:t>，本次环境空气特征因子委托</w:t>
            </w:r>
            <w:r>
              <w:rPr>
                <w:rFonts w:hint="default" w:ascii="Times New Roman" w:hAnsi="Times New Roman" w:cs="Times New Roman"/>
                <w:color w:val="auto"/>
                <w:sz w:val="24"/>
                <w:szCs w:val="24"/>
                <w:highlight w:val="none"/>
                <w:lang w:eastAsia="zh-CN"/>
              </w:rPr>
              <w:t>新疆点点星光检测技术有限公司</w:t>
            </w:r>
            <w:r>
              <w:rPr>
                <w:rFonts w:hint="default" w:ascii="Times New Roman" w:hAnsi="Times New Roman" w:eastAsia="宋体" w:cs="Times New Roman"/>
                <w:color w:val="auto"/>
                <w:sz w:val="24"/>
                <w:szCs w:val="24"/>
                <w:highlight w:val="none"/>
                <w:lang w:val="en-US" w:eastAsia="zh-CN"/>
              </w:rPr>
              <w:t>于</w:t>
            </w: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日-</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月1</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日</w:t>
            </w:r>
            <w:r>
              <w:rPr>
                <w:rFonts w:hint="default" w:ascii="Times New Roman" w:hAnsi="Times New Roman" w:eastAsia="宋体" w:cs="Times New Roman"/>
                <w:color w:val="auto"/>
                <w:sz w:val="24"/>
                <w:szCs w:val="24"/>
                <w:highlight w:val="none"/>
                <w:lang w:val="en-US" w:eastAsia="zh-CN"/>
              </w:rPr>
              <w:t>开展现状监测。</w:t>
            </w:r>
            <w:r>
              <w:rPr>
                <w:rFonts w:hint="default" w:ascii="Times New Roman" w:hAnsi="Times New Roman" w:cs="Times New Roman"/>
                <w:color w:val="auto"/>
                <w:sz w:val="24"/>
                <w:szCs w:val="24"/>
                <w:highlight w:val="none"/>
              </w:rPr>
              <w:t>本项目的监测点位图见附图</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p>
          <w:p w14:paraId="559524E9">
            <w:pPr>
              <w:autoSpaceDE w:val="0"/>
              <w:autoSpaceDN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1）监测项目及频率</w:t>
            </w:r>
          </w:p>
          <w:p w14:paraId="2219488A">
            <w:pPr>
              <w:autoSpaceDE w:val="0"/>
              <w:autoSpaceDN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监测项目：TSP</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氮氧化物</w:t>
            </w:r>
            <w:r>
              <w:rPr>
                <w:rFonts w:hint="default" w:ascii="Times New Roman" w:hAnsi="Times New Roman" w:cs="Times New Roman"/>
                <w:color w:val="auto"/>
                <w:sz w:val="24"/>
                <w:szCs w:val="24"/>
                <w:highlight w:val="none"/>
              </w:rPr>
              <w:t>。</w:t>
            </w:r>
          </w:p>
          <w:p w14:paraId="359B0ECF">
            <w:pPr>
              <w:autoSpaceDE w:val="0"/>
              <w:autoSpaceDN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监测频率：连续采样3天。</w:t>
            </w:r>
          </w:p>
          <w:p w14:paraId="5979CFD2">
            <w:pPr>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2）采样仪器及分析方法</w:t>
            </w:r>
          </w:p>
          <w:p w14:paraId="2967DAAF">
            <w:pPr>
              <w:adjustRightInd w:val="0"/>
              <w:snapToGrid w:val="0"/>
              <w:spacing w:line="360" w:lineRule="auto"/>
              <w:ind w:firstLine="480" w:firstLineChars="2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4"/>
                <w:szCs w:val="24"/>
                <w:highlight w:val="none"/>
              </w:rPr>
              <w:t>特征因子分析方法详见表3-2。</w:t>
            </w:r>
          </w:p>
          <w:p w14:paraId="3B58BA69">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b/>
                <w:color w:val="auto"/>
                <w:kern w:val="0"/>
                <w:sz w:val="21"/>
                <w:szCs w:val="21"/>
                <w:highlight w:val="none"/>
              </w:rPr>
              <w:t>表3-2    特征因子采样仪器及分析方法</w:t>
            </w:r>
          </w:p>
          <w:tbl>
            <w:tblPr>
              <w:tblStyle w:val="19"/>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22"/>
              <w:gridCol w:w="3249"/>
              <w:gridCol w:w="1681"/>
              <w:gridCol w:w="1892"/>
            </w:tblGrid>
            <w:tr w14:paraId="29CDE4B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1" w:type="pct"/>
                  <w:noWrap w:val="0"/>
                  <w:vAlign w:val="center"/>
                </w:tcPr>
                <w:p w14:paraId="180B8D13">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监测项目</w:t>
                  </w:r>
                </w:p>
              </w:tc>
              <w:tc>
                <w:tcPr>
                  <w:tcW w:w="1994" w:type="pct"/>
                  <w:noWrap w:val="0"/>
                  <w:vAlign w:val="center"/>
                </w:tcPr>
                <w:p w14:paraId="0BC8E144">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分析方法</w:t>
                  </w:r>
                </w:p>
              </w:tc>
              <w:tc>
                <w:tcPr>
                  <w:tcW w:w="1032" w:type="pct"/>
                  <w:noWrap w:val="0"/>
                  <w:vAlign w:val="center"/>
                </w:tcPr>
                <w:p w14:paraId="1E8992FA">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方法来源</w:t>
                  </w:r>
                </w:p>
              </w:tc>
              <w:tc>
                <w:tcPr>
                  <w:tcW w:w="1161" w:type="pct"/>
                  <w:noWrap w:val="0"/>
                  <w:vAlign w:val="center"/>
                </w:tcPr>
                <w:p w14:paraId="7B169E1B">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检出限（mg/m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w:t>
                  </w:r>
                </w:p>
              </w:tc>
            </w:tr>
            <w:tr w14:paraId="421282C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1" w:type="pct"/>
                  <w:noWrap w:val="0"/>
                  <w:vAlign w:val="center"/>
                </w:tcPr>
                <w:p w14:paraId="5FE2D93A">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TSP</w:t>
                  </w:r>
                </w:p>
              </w:tc>
              <w:tc>
                <w:tcPr>
                  <w:tcW w:w="1994" w:type="pct"/>
                  <w:noWrap w:val="0"/>
                  <w:vAlign w:val="center"/>
                </w:tcPr>
                <w:p w14:paraId="1AFF2E9A">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bCs/>
                      <w:color w:val="auto"/>
                      <w:sz w:val="21"/>
                      <w:szCs w:val="21"/>
                      <w:highlight w:val="none"/>
                    </w:rPr>
                    <w:t>环境空气 总悬浮颗粒物的测定 重量法</w:t>
                  </w:r>
                </w:p>
              </w:tc>
              <w:tc>
                <w:tcPr>
                  <w:tcW w:w="1032" w:type="pct"/>
                  <w:noWrap w:val="0"/>
                  <w:vAlign w:val="center"/>
                </w:tcPr>
                <w:p w14:paraId="41D84571">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HJ 1263-2022</w:t>
                  </w:r>
                </w:p>
              </w:tc>
              <w:tc>
                <w:tcPr>
                  <w:tcW w:w="1161" w:type="pct"/>
                  <w:noWrap w:val="0"/>
                  <w:vAlign w:val="center"/>
                </w:tcPr>
                <w:p w14:paraId="24751BB9">
                  <w:pPr>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sz w:val="21"/>
                      <w:szCs w:val="21"/>
                      <w:highlight w:val="none"/>
                    </w:rPr>
                    <w:t>0.00</w:t>
                  </w:r>
                  <w:r>
                    <w:rPr>
                      <w:rFonts w:hint="default" w:ascii="Times New Roman" w:hAnsi="Times New Roman" w:cs="Times New Roman"/>
                      <w:color w:val="auto"/>
                      <w:sz w:val="21"/>
                      <w:szCs w:val="21"/>
                      <w:highlight w:val="none"/>
                      <w:lang w:val="en-US" w:eastAsia="zh-CN"/>
                    </w:rPr>
                    <w:t>7</w:t>
                  </w:r>
                </w:p>
              </w:tc>
            </w:tr>
            <w:tr w14:paraId="669F951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1" w:type="pct"/>
                  <w:noWrap w:val="0"/>
                  <w:vAlign w:val="center"/>
                </w:tcPr>
                <w:p w14:paraId="709F8EE0">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氮氧化物</w:t>
                  </w:r>
                </w:p>
              </w:tc>
              <w:tc>
                <w:tcPr>
                  <w:tcW w:w="1994" w:type="pct"/>
                  <w:noWrap w:val="0"/>
                  <w:vAlign w:val="center"/>
                </w:tcPr>
                <w:p w14:paraId="1F276FDB">
                  <w:pPr>
                    <w:widowControl/>
                    <w:spacing w:line="240" w:lineRule="auto"/>
                    <w:jc w:val="center"/>
                    <w:textAlignment w:val="center"/>
                    <w:rPr>
                      <w:rFonts w:hint="default" w:ascii="Times New Roman" w:hAnsi="Times New Roman"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环境空气 氮氧化物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一氧化氮和二氧化氮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的测定 盐酸萘二胺分光光度法及第1号修改单</w:t>
                  </w:r>
                </w:p>
              </w:tc>
              <w:tc>
                <w:tcPr>
                  <w:tcW w:w="1032" w:type="pct"/>
                  <w:noWrap w:val="0"/>
                  <w:vAlign w:val="center"/>
                </w:tcPr>
                <w:p w14:paraId="6A0DF03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HJ 479-2009</w:t>
                  </w:r>
                </w:p>
                <w:p w14:paraId="17EE4229">
                  <w:pPr>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/XG1-2018</w:t>
                  </w:r>
                </w:p>
              </w:tc>
              <w:tc>
                <w:tcPr>
                  <w:tcW w:w="1161" w:type="pct"/>
                  <w:noWrap w:val="0"/>
                  <w:vAlign w:val="center"/>
                </w:tcPr>
                <w:p w14:paraId="1D4198F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bidi="ar-SA"/>
                    </w:rPr>
                    <w:t>0.003</w:t>
                  </w:r>
                </w:p>
              </w:tc>
            </w:tr>
          </w:tbl>
          <w:p w14:paraId="3383F85B">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rPr>
                <w:rFonts w:hint="default" w:ascii="Times New Roman" w:hAnsi="Times New Roman" w:cs="Times New Roman"/>
                <w:color w:val="auto"/>
                <w:sz w:val="24"/>
                <w:szCs w:val="24"/>
                <w:highlight w:val="none"/>
              </w:rPr>
            </w:pPr>
          </w:p>
          <w:p w14:paraId="2C36FC63">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3）评价标准及方法</w:t>
            </w:r>
          </w:p>
          <w:p w14:paraId="3994AB35">
            <w:pPr>
              <w:adjustRightInd w:val="0"/>
              <w:snapToGrid w:val="0"/>
              <w:spacing w:line="360" w:lineRule="auto"/>
              <w:ind w:firstLine="48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4"/>
                <w:szCs w:val="24"/>
                <w:highlight w:val="none"/>
              </w:rPr>
              <w:t>评价标准：</w:t>
            </w:r>
            <w:r>
              <w:rPr>
                <w:rFonts w:hint="default" w:ascii="Times New Roman" w:hAnsi="Times New Roman" w:cs="Times New Roman"/>
                <w:color w:val="auto"/>
                <w:sz w:val="24"/>
                <w:szCs w:val="24"/>
                <w:highlight w:val="none"/>
              </w:rPr>
              <w:t>执行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kern w:val="0"/>
                <w:sz w:val="24"/>
                <w:szCs w:val="24"/>
                <w:highlight w:val="none"/>
                <w:lang w:bidi="ar"/>
              </w:rPr>
              <w:t>环境空气质量标准》（GB 3095-2012）中二级标准限值，</w:t>
            </w:r>
            <w:r>
              <w:rPr>
                <w:rFonts w:hint="default" w:ascii="Times New Roman" w:hAnsi="Times New Roman" w:cs="Times New Roman"/>
                <w:color w:val="auto"/>
                <w:sz w:val="24"/>
                <w:szCs w:val="24"/>
                <w:highlight w:val="none"/>
              </w:rPr>
              <w:t>见下表3-3。</w:t>
            </w:r>
          </w:p>
          <w:p w14:paraId="03011E57">
            <w:pPr>
              <w:adjustRightInd w:val="0"/>
              <w:snapToGrid w:val="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表3-3    特征因子执行标准</w:t>
            </w:r>
          </w:p>
          <w:tbl>
            <w:tblPr>
              <w:tblStyle w:val="1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634"/>
              <w:gridCol w:w="3756"/>
            </w:tblGrid>
            <w:tr w14:paraId="590E28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 w:type="pct"/>
                  <w:noWrap w:val="0"/>
                  <w:vAlign w:val="center"/>
                </w:tcPr>
                <w:p w14:paraId="718D290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评价因子</w:t>
                  </w:r>
                </w:p>
              </w:tc>
              <w:tc>
                <w:tcPr>
                  <w:tcW w:w="1617" w:type="pct"/>
                  <w:noWrap w:val="0"/>
                  <w:vAlign w:val="center"/>
                </w:tcPr>
                <w:p w14:paraId="52E3405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c>
                <w:tcPr>
                  <w:tcW w:w="2305" w:type="pct"/>
                  <w:noWrap w:val="0"/>
                  <w:vAlign w:val="center"/>
                </w:tcPr>
                <w:p w14:paraId="285DBEC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标准来源</w:t>
                  </w:r>
                </w:p>
              </w:tc>
            </w:tr>
            <w:tr w14:paraId="5D014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 w:type="pct"/>
                  <w:noWrap w:val="0"/>
                  <w:vAlign w:val="center"/>
                </w:tcPr>
                <w:p w14:paraId="331C069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TSP</w:t>
                  </w:r>
                </w:p>
              </w:tc>
              <w:tc>
                <w:tcPr>
                  <w:tcW w:w="1617" w:type="pct"/>
                  <w:noWrap w:val="0"/>
                  <w:vAlign w:val="center"/>
                </w:tcPr>
                <w:p w14:paraId="04066F6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0.3</w:t>
                  </w: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（24h平均）</w:t>
                  </w:r>
                </w:p>
              </w:tc>
              <w:tc>
                <w:tcPr>
                  <w:tcW w:w="2305" w:type="pct"/>
                  <w:vMerge w:val="restart"/>
                  <w:noWrap w:val="0"/>
                  <w:vAlign w:val="center"/>
                </w:tcPr>
                <w:p w14:paraId="25C1DAE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《环境空气质量标准》（GB 3095-2012）中二级标准限值</w:t>
                  </w:r>
                </w:p>
              </w:tc>
            </w:tr>
            <w:tr w14:paraId="5E03DA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 w:type="pct"/>
                  <w:noWrap w:val="0"/>
                  <w:vAlign w:val="center"/>
                </w:tcPr>
                <w:p w14:paraId="78A1985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氮氧化物</w:t>
                  </w:r>
                </w:p>
              </w:tc>
              <w:tc>
                <w:tcPr>
                  <w:tcW w:w="1617" w:type="pct"/>
                  <w:noWrap w:val="0"/>
                  <w:vAlign w:val="center"/>
                </w:tcPr>
                <w:p w14:paraId="3C299EC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w:t>
                  </w:r>
                  <w:r>
                    <w:rPr>
                      <w:rFonts w:hint="default" w:ascii="Times New Roman" w:hAnsi="Times New Roman" w:cs="Times New Roman"/>
                      <w:color w:val="auto"/>
                      <w:kern w:val="0"/>
                      <w:sz w:val="21"/>
                      <w:szCs w:val="21"/>
                      <w:highlight w:val="none"/>
                      <w:lang w:val="en-US" w:eastAsia="zh-CN" w:bidi="ar"/>
                    </w:rPr>
                    <w:t>1</w:t>
                  </w: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（24h平均）</w:t>
                  </w:r>
                </w:p>
              </w:tc>
              <w:tc>
                <w:tcPr>
                  <w:tcW w:w="2305" w:type="pct"/>
                  <w:vMerge w:val="continue"/>
                  <w:noWrap w:val="0"/>
                  <w:vAlign w:val="center"/>
                </w:tcPr>
                <w:p w14:paraId="336E1EF3">
                  <w:pPr>
                    <w:jc w:val="center"/>
                    <w:rPr>
                      <w:rFonts w:hint="default" w:ascii="Times New Roman" w:hAnsi="Times New Roman" w:cs="Times New Roman"/>
                      <w:color w:val="auto"/>
                      <w:sz w:val="21"/>
                      <w:szCs w:val="21"/>
                      <w:highlight w:val="none"/>
                    </w:rPr>
                  </w:pPr>
                </w:p>
              </w:tc>
            </w:tr>
          </w:tbl>
          <w:p w14:paraId="0142DB02">
            <w:pPr>
              <w:overflowPunct w:val="0"/>
              <w:adjustRightInd w:val="0"/>
              <w:snapToGrid w:val="0"/>
              <w:spacing w:line="360" w:lineRule="auto"/>
              <w:ind w:firstLine="480" w:firstLineChars="200"/>
              <w:rPr>
                <w:rFonts w:hint="default" w:ascii="Times New Roman" w:hAnsi="Times New Roman" w:cs="Times New Roman"/>
                <w:color w:val="auto"/>
                <w:sz w:val="24"/>
                <w:szCs w:val="24"/>
                <w:highlight w:val="none"/>
              </w:rPr>
            </w:pPr>
          </w:p>
          <w:p w14:paraId="2BC102E8">
            <w:pPr>
              <w:overflowPunct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评价方法：本次大气环境质量现状评价采用单因子污染指数法，计算模式为：</w:t>
            </w:r>
          </w:p>
          <w:p w14:paraId="2E7FDD96">
            <w:pPr>
              <w:spacing w:line="360" w:lineRule="auto"/>
              <w:ind w:firstLine="480" w:firstLineChars="20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4"/>
                <w:highlight w:val="none"/>
                <w:vertAlign w:val="subscript"/>
              </w:rPr>
              <w:t>oi</w:t>
            </w:r>
          </w:p>
          <w:p w14:paraId="7F0B3479">
            <w:pPr>
              <w:spacing w:line="360" w:lineRule="auto"/>
              <w:ind w:firstLine="480" w:firstLineChars="200"/>
              <w:textAlignment w:val="baseline"/>
              <w:rPr>
                <w:rFonts w:hint="default" w:ascii="Times New Roman" w:hAnsi="Times New Roman" w:cs="Times New Roman"/>
                <w:color w:val="auto"/>
                <w:sz w:val="24"/>
                <w:szCs w:val="24"/>
                <w:highlight w:val="none"/>
                <w:vertAlign w:val="subscript"/>
              </w:rPr>
            </w:pPr>
            <w:r>
              <w:rPr>
                <w:rFonts w:hint="default" w:ascii="Times New Roman" w:hAnsi="Times New Roman" w:cs="Times New Roman"/>
                <w:color w:val="auto"/>
                <w:sz w:val="24"/>
                <w:szCs w:val="24"/>
                <w:highlight w:val="none"/>
              </w:rPr>
              <w:t>式中：I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—i污染物的分指数；</w:t>
            </w:r>
          </w:p>
          <w:p w14:paraId="3B78D01B">
            <w:pPr>
              <w:spacing w:line="360" w:lineRule="auto"/>
              <w:ind w:firstLine="1200" w:firstLineChars="5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—i污染物的浓度，mg/m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p>
          <w:p w14:paraId="2CDB41EA">
            <w:pPr>
              <w:spacing w:line="360" w:lineRule="auto"/>
              <w:ind w:firstLine="1200" w:firstLineChars="5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4"/>
                <w:highlight w:val="none"/>
                <w:vertAlign w:val="subscript"/>
              </w:rPr>
              <w:t>oi</w:t>
            </w:r>
            <w:r>
              <w:rPr>
                <w:rFonts w:hint="default" w:ascii="Times New Roman" w:hAnsi="Times New Roman" w:cs="Times New Roman"/>
                <w:color w:val="auto"/>
                <w:sz w:val="24"/>
                <w:szCs w:val="24"/>
                <w:highlight w:val="none"/>
              </w:rPr>
              <w:t>—i污染物的评价标准，mg/m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p>
          <w:p w14:paraId="6F13AEA7">
            <w:pPr>
              <w:spacing w:line="360" w:lineRule="auto"/>
              <w:ind w:firstLine="480" w:firstLineChars="200"/>
              <w:rPr>
                <w:rFonts w:hint="default" w:ascii="Times New Roman" w:hAnsi="Times New Roman" w:cs="Times New Roman"/>
                <w:snapToGrid w:val="0"/>
                <w:color w:val="auto"/>
                <w:sz w:val="24"/>
                <w:szCs w:val="24"/>
                <w:highlight w:val="none"/>
              </w:rPr>
            </w:pPr>
            <w:r>
              <w:rPr>
                <w:rFonts w:hint="default" w:ascii="Times New Roman" w:hAnsi="Times New Roman" w:cs="Times New Roman"/>
                <w:color w:val="auto"/>
                <w:sz w:val="24"/>
                <w:szCs w:val="24"/>
                <w:highlight w:val="none"/>
              </w:rPr>
              <w:t>根据评价计算，可以得出单项污染指数，依照I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值的大小，分别确定其污染程度。当I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&lt;1时，表示大气中该污染物浓度不超标；当I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color w:val="auto"/>
                <w:sz w:val="24"/>
                <w:szCs w:val="24"/>
                <w:highlight w:val="none"/>
              </w:rPr>
              <w:t>&gt;1时，表示大气中</w:t>
            </w:r>
            <w:r>
              <w:rPr>
                <w:rFonts w:hint="default" w:ascii="Times New Roman" w:hAnsi="Times New Roman" w:cs="Times New Roman"/>
                <w:bCs/>
                <w:color w:val="auto"/>
                <w:sz w:val="24"/>
                <w:szCs w:val="24"/>
                <w:highlight w:val="none"/>
              </w:rPr>
              <w:t>该污染物浓度超过评价标准</w:t>
            </w:r>
            <w:r>
              <w:rPr>
                <w:rFonts w:hint="default" w:ascii="Times New Roman" w:hAnsi="Times New Roman" w:cs="Times New Roman"/>
                <w:color w:val="auto"/>
                <w:sz w:val="24"/>
                <w:szCs w:val="24"/>
                <w:highlight w:val="none"/>
              </w:rPr>
              <w:t>，</w:t>
            </w:r>
            <w:r>
              <w:rPr>
                <w:rFonts w:hint="default" w:ascii="Times New Roman" w:hAnsi="Times New Roman" w:cs="Times New Roman"/>
                <w:snapToGrid w:val="0"/>
                <w:color w:val="auto"/>
                <w:sz w:val="24"/>
                <w:szCs w:val="24"/>
                <w:highlight w:val="none"/>
              </w:rPr>
              <w:t>当</w:t>
            </w:r>
            <w:r>
              <w:rPr>
                <w:rFonts w:hint="default" w:ascii="Times New Roman" w:hAnsi="Times New Roman" w:cs="Times New Roman"/>
                <w:color w:val="auto"/>
                <w:sz w:val="24"/>
                <w:szCs w:val="24"/>
                <w:highlight w:val="none"/>
              </w:rPr>
              <w:t>I</w:t>
            </w:r>
            <w:r>
              <w:rPr>
                <w:rFonts w:hint="default" w:ascii="Times New Roman" w:hAnsi="Times New Roman" w:cs="Times New Roman"/>
                <w:color w:val="auto"/>
                <w:sz w:val="24"/>
                <w:szCs w:val="24"/>
                <w:highlight w:val="none"/>
                <w:vertAlign w:val="subscript"/>
              </w:rPr>
              <w:t>i</w:t>
            </w:r>
            <w:r>
              <w:rPr>
                <w:rFonts w:hint="default" w:ascii="Times New Roman" w:hAnsi="Times New Roman" w:cs="Times New Roman"/>
                <w:snapToGrid w:val="0"/>
                <w:color w:val="auto"/>
                <w:sz w:val="24"/>
                <w:szCs w:val="24"/>
                <w:highlight w:val="none"/>
              </w:rPr>
              <w:t>=1时，表示大气中该污染物浓度处于临界状态。</w:t>
            </w:r>
          </w:p>
          <w:p w14:paraId="4D6A4F5B">
            <w:pPr>
              <w:overflowPunct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（4）现状监测及评价结果</w:t>
            </w:r>
          </w:p>
          <w:p w14:paraId="4824E888">
            <w:pPr>
              <w:spacing w:line="360" w:lineRule="auto"/>
              <w:ind w:firstLine="48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t>TSP</w:t>
            </w:r>
            <w:r>
              <w:rPr>
                <w:rFonts w:hint="default" w:ascii="Times New Roman" w:hAnsi="Times New Roman" w:cs="Times New Roman"/>
                <w:color w:val="auto"/>
                <w:sz w:val="24"/>
                <w:szCs w:val="24"/>
                <w:highlight w:val="none"/>
                <w:lang w:eastAsia="zh-CN"/>
              </w:rPr>
              <w:t>、氮氧化物</w:t>
            </w:r>
            <w:r>
              <w:rPr>
                <w:rFonts w:hint="default" w:ascii="Times New Roman" w:hAnsi="Times New Roman" w:cs="Times New Roman"/>
                <w:color w:val="auto"/>
                <w:sz w:val="24"/>
                <w:szCs w:val="24"/>
                <w:highlight w:val="none"/>
              </w:rPr>
              <w:t>环境质量现状监测、评价结果见表3-</w:t>
            </w:r>
            <w:r>
              <w:rPr>
                <w:rFonts w:hint="default" w:ascii="Times New Roman" w:hAnsi="Times New Roman" w:cs="Times New Roman"/>
                <w:color w:val="auto"/>
                <w:sz w:val="24"/>
                <w:szCs w:val="24"/>
                <w:highlight w:val="none"/>
                <w:lang w:val="en-US" w:eastAsia="zh-CN"/>
              </w:rPr>
              <w:t>4</w:t>
            </w:r>
            <w:r>
              <w:rPr>
                <w:rFonts w:hint="eastAsia" w:cs="Times New Roman"/>
                <w:color w:val="auto"/>
                <w:sz w:val="24"/>
                <w:szCs w:val="24"/>
                <w:highlight w:val="none"/>
                <w:lang w:val="en-US" w:eastAsia="zh-CN"/>
              </w:rPr>
              <w:t>，检测报告见附件5</w:t>
            </w:r>
            <w:r>
              <w:rPr>
                <w:rFonts w:hint="default" w:ascii="Times New Roman" w:hAnsi="Times New Roman" w:cs="Times New Roman"/>
                <w:color w:val="auto"/>
                <w:sz w:val="24"/>
                <w:szCs w:val="24"/>
                <w:highlight w:val="none"/>
              </w:rPr>
              <w:t>。</w:t>
            </w:r>
          </w:p>
          <w:p w14:paraId="4E895834">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kern w:val="0"/>
                <w:sz w:val="21"/>
                <w:szCs w:val="21"/>
                <w:highlight w:val="none"/>
              </w:rPr>
              <w:t>表3-</w:t>
            </w:r>
            <w:r>
              <w:rPr>
                <w:rFonts w:hint="default" w:ascii="Times New Roman" w:hAnsi="Times New Roman" w:cs="Times New Roman"/>
                <w:b/>
                <w:color w:val="auto"/>
                <w:kern w:val="0"/>
                <w:sz w:val="21"/>
                <w:szCs w:val="21"/>
                <w:highlight w:val="none"/>
                <w:lang w:val="en-US" w:eastAsia="zh-CN"/>
              </w:rPr>
              <w:t>4</w:t>
            </w:r>
            <w:r>
              <w:rPr>
                <w:rFonts w:hint="default" w:ascii="Times New Roman" w:hAnsi="Times New Roman" w:cs="Times New Roman"/>
                <w:b/>
                <w:color w:val="auto"/>
                <w:kern w:val="0"/>
                <w:sz w:val="21"/>
                <w:szCs w:val="21"/>
                <w:highlight w:val="none"/>
              </w:rPr>
              <w:t xml:space="preserve">    </w:t>
            </w:r>
            <w:r>
              <w:rPr>
                <w:rFonts w:hint="default" w:ascii="Times New Roman" w:hAnsi="Times New Roman" w:cs="Times New Roman"/>
                <w:b/>
                <w:color w:val="auto"/>
                <w:kern w:val="0"/>
                <w:sz w:val="21"/>
                <w:szCs w:val="21"/>
                <w:highlight w:val="none"/>
                <w:lang w:val="en-US" w:eastAsia="zh-CN"/>
              </w:rPr>
              <w:t>环境质量</w:t>
            </w:r>
            <w:r>
              <w:rPr>
                <w:rFonts w:hint="default" w:ascii="Times New Roman" w:hAnsi="Times New Roman" w:cs="Times New Roman"/>
                <w:b/>
                <w:color w:val="auto"/>
                <w:kern w:val="0"/>
                <w:sz w:val="21"/>
                <w:szCs w:val="21"/>
                <w:highlight w:val="none"/>
              </w:rPr>
              <w:t>现状监测日均浓度统计及评价结果表  mg/m</w:t>
            </w:r>
            <w:r>
              <w:rPr>
                <w:rFonts w:hint="default" w:ascii="Times New Roman" w:hAnsi="Times New Roman" w:cs="Times New Roman"/>
                <w:b/>
                <w:color w:val="auto"/>
                <w:kern w:val="0"/>
                <w:sz w:val="21"/>
                <w:szCs w:val="21"/>
                <w:highlight w:val="none"/>
                <w:vertAlign w:val="superscript"/>
              </w:rPr>
              <w:t>3</w:t>
            </w:r>
          </w:p>
          <w:tbl>
            <w:tblPr>
              <w:tblStyle w:val="19"/>
              <w:tblW w:w="4992"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0"/>
              <w:gridCol w:w="810"/>
              <w:gridCol w:w="2746"/>
              <w:gridCol w:w="1306"/>
              <w:gridCol w:w="1177"/>
              <w:gridCol w:w="1285"/>
            </w:tblGrid>
            <w:tr w14:paraId="7D2EBD2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tcBorders>
                    <w:top w:val="single" w:color="auto" w:sz="6" w:space="0"/>
                    <w:bottom w:val="single" w:color="auto" w:sz="6" w:space="0"/>
                    <w:right w:val="single" w:color="auto" w:sz="6" w:space="0"/>
                  </w:tcBorders>
                  <w:noWrap w:val="0"/>
                  <w:vAlign w:val="center"/>
                </w:tcPr>
                <w:p w14:paraId="7C33277F">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监测点位</w:t>
                  </w:r>
                </w:p>
              </w:tc>
              <w:tc>
                <w:tcPr>
                  <w:tcW w:w="497" w:type="pct"/>
                  <w:tcBorders>
                    <w:top w:val="single" w:color="auto" w:sz="6" w:space="0"/>
                    <w:bottom w:val="single" w:color="auto" w:sz="6" w:space="0"/>
                    <w:right w:val="single" w:color="auto" w:sz="6" w:space="0"/>
                  </w:tcBorders>
                  <w:noWrap w:val="0"/>
                  <w:vAlign w:val="center"/>
                </w:tcPr>
                <w:p w14:paraId="3D67231B">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监测因子</w:t>
                  </w:r>
                </w:p>
              </w:tc>
              <w:tc>
                <w:tcPr>
                  <w:tcW w:w="1687" w:type="pct"/>
                  <w:tcBorders>
                    <w:top w:val="single" w:color="auto" w:sz="6" w:space="0"/>
                    <w:left w:val="single" w:color="auto" w:sz="6" w:space="0"/>
                    <w:bottom w:val="single" w:color="auto" w:sz="6" w:space="0"/>
                    <w:right w:val="single" w:color="auto" w:sz="6" w:space="0"/>
                  </w:tcBorders>
                  <w:noWrap w:val="0"/>
                  <w:vAlign w:val="center"/>
                </w:tcPr>
                <w:p w14:paraId="2048F4F9">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监测时间</w:t>
                  </w:r>
                </w:p>
              </w:tc>
              <w:tc>
                <w:tcPr>
                  <w:tcW w:w="802" w:type="pct"/>
                  <w:tcBorders>
                    <w:top w:val="single" w:color="auto" w:sz="6" w:space="0"/>
                    <w:left w:val="single" w:color="auto" w:sz="6" w:space="0"/>
                    <w:bottom w:val="single" w:color="auto" w:sz="6" w:space="0"/>
                    <w:right w:val="single" w:color="auto" w:sz="6" w:space="0"/>
                  </w:tcBorders>
                  <w:noWrap w:val="0"/>
                  <w:vAlign w:val="center"/>
                </w:tcPr>
                <w:p w14:paraId="61903D06">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监测结果（</w:t>
                  </w:r>
                  <w:r>
                    <w:rPr>
                      <w:rFonts w:hint="default" w:ascii="Times New Roman" w:hAnsi="Times New Roman" w:cs="Times New Roman"/>
                      <w:b w:val="0"/>
                      <w:bCs w:val="0"/>
                      <w:color w:val="auto"/>
                      <w:kern w:val="0"/>
                      <w:sz w:val="21"/>
                      <w:szCs w:val="21"/>
                      <w:highlight w:val="none"/>
                    </w:rPr>
                    <w:t>mg/m</w:t>
                  </w:r>
                  <w:r>
                    <w:rPr>
                      <w:rFonts w:hint="default" w:ascii="Times New Roman" w:hAnsi="Times New Roman" w:cs="Times New Roman"/>
                      <w:b w:val="0"/>
                      <w:bCs w:val="0"/>
                      <w:color w:val="auto"/>
                      <w:kern w:val="0"/>
                      <w:sz w:val="21"/>
                      <w:szCs w:val="21"/>
                      <w:highlight w:val="none"/>
                      <w:vertAlign w:val="superscript"/>
                    </w:rPr>
                    <w:t>3</w:t>
                  </w:r>
                  <w:r>
                    <w:rPr>
                      <w:rFonts w:hint="default" w:ascii="Times New Roman" w:hAnsi="Times New Roman" w:cs="Times New Roman"/>
                      <w:b w:val="0"/>
                      <w:bCs w:val="0"/>
                      <w:color w:val="auto"/>
                      <w:sz w:val="21"/>
                      <w:szCs w:val="21"/>
                      <w:highlight w:val="none"/>
                    </w:rPr>
                    <w:t>）</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1474A944">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浓度限值</w:t>
                  </w:r>
                  <w:r>
                    <w:rPr>
                      <w:rFonts w:hint="default" w:ascii="Times New Roman" w:hAnsi="Times New Roman" w:cs="Times New Roman"/>
                      <w:b w:val="0"/>
                      <w:bCs w:val="0"/>
                      <w:color w:val="auto"/>
                      <w:sz w:val="21"/>
                      <w:szCs w:val="21"/>
                      <w:highlight w:val="none"/>
                    </w:rPr>
                    <w:t>（</w:t>
                  </w:r>
                  <w:r>
                    <w:rPr>
                      <w:rFonts w:hint="default" w:ascii="Times New Roman" w:hAnsi="Times New Roman" w:cs="Times New Roman"/>
                      <w:b w:val="0"/>
                      <w:bCs w:val="0"/>
                      <w:color w:val="auto"/>
                      <w:kern w:val="0"/>
                      <w:sz w:val="21"/>
                      <w:szCs w:val="21"/>
                      <w:highlight w:val="none"/>
                    </w:rPr>
                    <w:t>mg/m</w:t>
                  </w:r>
                  <w:r>
                    <w:rPr>
                      <w:rFonts w:hint="default" w:ascii="Times New Roman" w:hAnsi="Times New Roman" w:cs="Times New Roman"/>
                      <w:b w:val="0"/>
                      <w:bCs w:val="0"/>
                      <w:color w:val="auto"/>
                      <w:kern w:val="0"/>
                      <w:sz w:val="21"/>
                      <w:szCs w:val="21"/>
                      <w:highlight w:val="none"/>
                      <w:vertAlign w:val="superscript"/>
                    </w:rPr>
                    <w:t>3</w:t>
                  </w:r>
                  <w:r>
                    <w:rPr>
                      <w:rFonts w:hint="default" w:ascii="Times New Roman" w:hAnsi="Times New Roman" w:cs="Times New Roman"/>
                      <w:b w:val="0"/>
                      <w:bCs w:val="0"/>
                      <w:color w:val="auto"/>
                      <w:sz w:val="21"/>
                      <w:szCs w:val="21"/>
                      <w:highlight w:val="none"/>
                    </w:rPr>
                    <w:t>）</w:t>
                  </w:r>
                </w:p>
              </w:tc>
              <w:tc>
                <w:tcPr>
                  <w:tcW w:w="789" w:type="pct"/>
                  <w:tcBorders>
                    <w:top w:val="single" w:color="auto" w:sz="6" w:space="0"/>
                    <w:left w:val="single" w:color="auto" w:sz="6" w:space="0"/>
                    <w:bottom w:val="single" w:color="auto" w:sz="6" w:space="0"/>
                  </w:tcBorders>
                  <w:noWrap w:val="0"/>
                  <w:vAlign w:val="center"/>
                </w:tcPr>
                <w:p w14:paraId="3F79F8C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I</w:t>
                  </w:r>
                  <w:r>
                    <w:rPr>
                      <w:rFonts w:hint="default" w:ascii="Times New Roman" w:hAnsi="Times New Roman" w:cs="Times New Roman"/>
                      <w:color w:val="auto"/>
                      <w:sz w:val="21"/>
                      <w:szCs w:val="21"/>
                      <w:highlight w:val="none"/>
                      <w:vertAlign w:val="subscript"/>
                    </w:rPr>
                    <w:t>i</w:t>
                  </w:r>
                </w:p>
              </w:tc>
            </w:tr>
            <w:tr w14:paraId="4A45A21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restart"/>
                  <w:tcBorders>
                    <w:top w:val="single" w:color="auto" w:sz="6" w:space="0"/>
                    <w:right w:val="single" w:color="auto" w:sz="6" w:space="0"/>
                  </w:tcBorders>
                  <w:noWrap w:val="0"/>
                  <w:vAlign w:val="center"/>
                </w:tcPr>
                <w:p w14:paraId="2BB348F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项目区下风向1</w:t>
                  </w:r>
                  <w:r>
                    <w:rPr>
                      <w:rFonts w:hint="default" w:ascii="Times New Roman" w:hAnsi="Times New Roman" w:cs="Times New Roman"/>
                      <w:bCs/>
                      <w:color w:val="auto"/>
                      <w:sz w:val="21"/>
                      <w:szCs w:val="21"/>
                      <w:highlight w:val="none"/>
                      <w:vertAlign w:val="superscript"/>
                    </w:rPr>
                    <w:t>#</w:t>
                  </w:r>
                </w:p>
              </w:tc>
              <w:tc>
                <w:tcPr>
                  <w:tcW w:w="497" w:type="pct"/>
                  <w:vMerge w:val="restart"/>
                  <w:tcBorders>
                    <w:top w:val="single" w:color="auto" w:sz="6" w:space="0"/>
                    <w:right w:val="single" w:color="auto" w:sz="6" w:space="0"/>
                  </w:tcBorders>
                  <w:noWrap w:val="0"/>
                  <w:vAlign w:val="center"/>
                </w:tcPr>
                <w:p w14:paraId="3D03154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TSP</w:t>
                  </w:r>
                </w:p>
              </w:tc>
              <w:tc>
                <w:tcPr>
                  <w:tcW w:w="2746" w:type="dxa"/>
                  <w:tcBorders>
                    <w:top w:val="single" w:color="auto" w:sz="6" w:space="0"/>
                    <w:left w:val="single" w:color="auto" w:sz="6" w:space="0"/>
                    <w:right w:val="single" w:color="auto" w:sz="6" w:space="0"/>
                  </w:tcBorders>
                  <w:noWrap w:val="0"/>
                  <w:vAlign w:val="center"/>
                </w:tcPr>
                <w:p w14:paraId="516F5164">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bidi="ar-SA"/>
                    </w:rPr>
                    <w:t>2025.12.11~2025.12.12</w:t>
                  </w:r>
                </w:p>
              </w:tc>
              <w:tc>
                <w:tcPr>
                  <w:tcW w:w="1306" w:type="dxa"/>
                  <w:tcBorders>
                    <w:top w:val="single" w:color="auto" w:sz="6" w:space="0"/>
                    <w:left w:val="single" w:color="auto" w:sz="6" w:space="0"/>
                    <w:right w:val="single" w:color="auto" w:sz="6" w:space="0"/>
                  </w:tcBorders>
                  <w:noWrap w:val="0"/>
                  <w:vAlign w:val="center"/>
                </w:tcPr>
                <w:p w14:paraId="3754257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0.180</w:t>
                  </w:r>
                </w:p>
              </w:tc>
              <w:tc>
                <w:tcPr>
                  <w:tcW w:w="723" w:type="pct"/>
                  <w:vMerge w:val="restart"/>
                  <w:tcBorders>
                    <w:top w:val="single" w:color="auto" w:sz="6" w:space="0"/>
                    <w:left w:val="single" w:color="auto" w:sz="6" w:space="0"/>
                    <w:right w:val="single" w:color="auto" w:sz="6" w:space="0"/>
                  </w:tcBorders>
                  <w:noWrap w:val="0"/>
                  <w:vAlign w:val="center"/>
                </w:tcPr>
                <w:p w14:paraId="00AAFD34">
                  <w:pPr>
                    <w:widowControl/>
                    <w:jc w:val="center"/>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0.3</w:t>
                  </w:r>
                </w:p>
              </w:tc>
              <w:tc>
                <w:tcPr>
                  <w:tcW w:w="789" w:type="pct"/>
                  <w:tcBorders>
                    <w:top w:val="single" w:color="auto" w:sz="6" w:space="0"/>
                    <w:left w:val="single" w:color="auto" w:sz="6" w:space="0"/>
                  </w:tcBorders>
                  <w:noWrap w:val="0"/>
                  <w:vAlign w:val="center"/>
                </w:tcPr>
                <w:p w14:paraId="449DD83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60</w:t>
                  </w:r>
                </w:p>
              </w:tc>
            </w:tr>
            <w:tr w14:paraId="2B2BE00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continue"/>
                  <w:tcBorders>
                    <w:right w:val="single" w:color="auto" w:sz="6" w:space="0"/>
                  </w:tcBorders>
                  <w:noWrap w:val="0"/>
                  <w:vAlign w:val="center"/>
                </w:tcPr>
                <w:p w14:paraId="13878E3F">
                  <w:pPr>
                    <w:widowControl/>
                    <w:jc w:val="center"/>
                    <w:rPr>
                      <w:rFonts w:hint="default" w:ascii="Times New Roman" w:hAnsi="Times New Roman" w:cs="Times New Roman"/>
                      <w:color w:val="auto"/>
                      <w:sz w:val="21"/>
                      <w:szCs w:val="21"/>
                      <w:highlight w:val="none"/>
                    </w:rPr>
                  </w:pPr>
                </w:p>
              </w:tc>
              <w:tc>
                <w:tcPr>
                  <w:tcW w:w="497" w:type="pct"/>
                  <w:vMerge w:val="continue"/>
                  <w:tcBorders>
                    <w:right w:val="single" w:color="auto" w:sz="6" w:space="0"/>
                  </w:tcBorders>
                  <w:noWrap w:val="0"/>
                  <w:vAlign w:val="center"/>
                </w:tcPr>
                <w:p w14:paraId="34793A22">
                  <w:pPr>
                    <w:widowControl/>
                    <w:jc w:val="center"/>
                    <w:rPr>
                      <w:rFonts w:hint="default" w:ascii="Times New Roman" w:hAnsi="Times New Roman" w:cs="Times New Roman"/>
                      <w:color w:val="auto"/>
                      <w:sz w:val="21"/>
                      <w:szCs w:val="21"/>
                      <w:highlight w:val="none"/>
                    </w:rPr>
                  </w:pPr>
                </w:p>
              </w:tc>
              <w:tc>
                <w:tcPr>
                  <w:tcW w:w="2746" w:type="dxa"/>
                  <w:tcBorders>
                    <w:top w:val="single" w:color="auto" w:sz="6" w:space="0"/>
                    <w:left w:val="single" w:color="auto" w:sz="6" w:space="0"/>
                    <w:right w:val="single" w:color="auto" w:sz="6" w:space="0"/>
                  </w:tcBorders>
                  <w:noWrap w:val="0"/>
                  <w:vAlign w:val="center"/>
                </w:tcPr>
                <w:p w14:paraId="1A26DBF9">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2025.12.12~2025.12.13</w:t>
                  </w:r>
                </w:p>
              </w:tc>
              <w:tc>
                <w:tcPr>
                  <w:tcW w:w="1306" w:type="dxa"/>
                  <w:tcBorders>
                    <w:top w:val="single" w:color="auto" w:sz="6" w:space="0"/>
                    <w:left w:val="single" w:color="auto" w:sz="6" w:space="0"/>
                    <w:right w:val="single" w:color="auto" w:sz="6" w:space="0"/>
                  </w:tcBorders>
                  <w:noWrap w:val="0"/>
                  <w:vAlign w:val="center"/>
                </w:tcPr>
                <w:p w14:paraId="7E2BBE4E">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0.182</w:t>
                  </w:r>
                </w:p>
              </w:tc>
              <w:tc>
                <w:tcPr>
                  <w:tcW w:w="723" w:type="pct"/>
                  <w:vMerge w:val="continue"/>
                  <w:tcBorders>
                    <w:left w:val="single" w:color="auto" w:sz="6" w:space="0"/>
                    <w:right w:val="single" w:color="auto" w:sz="6" w:space="0"/>
                  </w:tcBorders>
                  <w:noWrap w:val="0"/>
                  <w:vAlign w:val="center"/>
                </w:tcPr>
                <w:p w14:paraId="4189804D">
                  <w:pPr>
                    <w:widowControl/>
                    <w:jc w:val="center"/>
                    <w:textAlignment w:val="center"/>
                    <w:rPr>
                      <w:rFonts w:hint="default" w:ascii="Times New Roman" w:hAnsi="Times New Roman" w:cs="Times New Roman"/>
                      <w:color w:val="auto"/>
                      <w:kern w:val="2"/>
                      <w:sz w:val="21"/>
                      <w:szCs w:val="21"/>
                      <w:highlight w:val="none"/>
                      <w:lang w:val="en-US" w:eastAsia="zh-CN" w:bidi="ar-SA"/>
                    </w:rPr>
                  </w:pPr>
                </w:p>
              </w:tc>
              <w:tc>
                <w:tcPr>
                  <w:tcW w:w="789" w:type="pct"/>
                  <w:tcBorders>
                    <w:top w:val="single" w:color="auto" w:sz="6" w:space="0"/>
                    <w:left w:val="single" w:color="auto" w:sz="6" w:space="0"/>
                  </w:tcBorders>
                  <w:noWrap w:val="0"/>
                  <w:vAlign w:val="center"/>
                </w:tcPr>
                <w:p w14:paraId="744765A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61</w:t>
                  </w:r>
                </w:p>
              </w:tc>
            </w:tr>
            <w:tr w14:paraId="299CC4E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continue"/>
                  <w:tcBorders>
                    <w:right w:val="single" w:color="auto" w:sz="6" w:space="0"/>
                  </w:tcBorders>
                  <w:noWrap w:val="0"/>
                  <w:vAlign w:val="center"/>
                </w:tcPr>
                <w:p w14:paraId="2CFF1FF7">
                  <w:pPr>
                    <w:widowControl/>
                    <w:jc w:val="center"/>
                    <w:rPr>
                      <w:rFonts w:hint="default" w:ascii="Times New Roman" w:hAnsi="Times New Roman" w:cs="Times New Roman"/>
                      <w:color w:val="auto"/>
                      <w:sz w:val="21"/>
                      <w:szCs w:val="21"/>
                      <w:highlight w:val="none"/>
                    </w:rPr>
                  </w:pPr>
                </w:p>
              </w:tc>
              <w:tc>
                <w:tcPr>
                  <w:tcW w:w="497" w:type="pct"/>
                  <w:vMerge w:val="continue"/>
                  <w:tcBorders>
                    <w:right w:val="single" w:color="auto" w:sz="6" w:space="0"/>
                  </w:tcBorders>
                  <w:noWrap w:val="0"/>
                  <w:vAlign w:val="center"/>
                </w:tcPr>
                <w:p w14:paraId="519F5C18">
                  <w:pPr>
                    <w:widowControl/>
                    <w:jc w:val="center"/>
                    <w:rPr>
                      <w:rFonts w:hint="default" w:ascii="Times New Roman" w:hAnsi="Times New Roman" w:cs="Times New Roman"/>
                      <w:color w:val="auto"/>
                      <w:sz w:val="21"/>
                      <w:szCs w:val="21"/>
                      <w:highlight w:val="none"/>
                    </w:rPr>
                  </w:pPr>
                </w:p>
              </w:tc>
              <w:tc>
                <w:tcPr>
                  <w:tcW w:w="2746" w:type="dxa"/>
                  <w:tcBorders>
                    <w:top w:val="single" w:color="auto" w:sz="6" w:space="0"/>
                    <w:left w:val="single" w:color="auto" w:sz="6" w:space="0"/>
                    <w:bottom w:val="single" w:color="auto" w:sz="6" w:space="0"/>
                    <w:right w:val="single" w:color="auto" w:sz="6" w:space="0"/>
                  </w:tcBorders>
                  <w:noWrap w:val="0"/>
                  <w:vAlign w:val="center"/>
                </w:tcPr>
                <w:p w14:paraId="7A19623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2025.12.13~2025.12.14</w:t>
                  </w:r>
                </w:p>
              </w:tc>
              <w:tc>
                <w:tcPr>
                  <w:tcW w:w="1306" w:type="dxa"/>
                  <w:tcBorders>
                    <w:top w:val="single" w:color="auto" w:sz="6" w:space="0"/>
                    <w:left w:val="single" w:color="auto" w:sz="6" w:space="0"/>
                    <w:bottom w:val="single" w:color="auto" w:sz="6" w:space="0"/>
                    <w:right w:val="single" w:color="auto" w:sz="6" w:space="0"/>
                  </w:tcBorders>
                  <w:noWrap w:val="0"/>
                  <w:vAlign w:val="center"/>
                </w:tcPr>
                <w:p w14:paraId="63AB3421">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0.184</w:t>
                  </w:r>
                </w:p>
              </w:tc>
              <w:tc>
                <w:tcPr>
                  <w:tcW w:w="723" w:type="pct"/>
                  <w:vMerge w:val="continue"/>
                  <w:tcBorders>
                    <w:left w:val="single" w:color="auto" w:sz="6" w:space="0"/>
                    <w:bottom w:val="single" w:color="auto" w:sz="6" w:space="0"/>
                    <w:right w:val="single" w:color="auto" w:sz="6" w:space="0"/>
                  </w:tcBorders>
                  <w:noWrap w:val="0"/>
                  <w:vAlign w:val="center"/>
                </w:tcPr>
                <w:p w14:paraId="16BADC39">
                  <w:pPr>
                    <w:widowControl/>
                    <w:jc w:val="center"/>
                    <w:textAlignment w:val="center"/>
                    <w:rPr>
                      <w:rFonts w:hint="default" w:ascii="Times New Roman" w:hAnsi="Times New Roman" w:cs="Times New Roman"/>
                      <w:color w:val="auto"/>
                      <w:kern w:val="2"/>
                      <w:sz w:val="21"/>
                      <w:szCs w:val="21"/>
                      <w:highlight w:val="none"/>
                      <w:lang w:val="en-US" w:eastAsia="zh-CN" w:bidi="ar-SA"/>
                    </w:rPr>
                  </w:pPr>
                </w:p>
              </w:tc>
              <w:tc>
                <w:tcPr>
                  <w:tcW w:w="789" w:type="pct"/>
                  <w:tcBorders>
                    <w:top w:val="single" w:color="auto" w:sz="6" w:space="0"/>
                    <w:left w:val="single" w:color="auto" w:sz="6" w:space="0"/>
                    <w:bottom w:val="single" w:color="auto" w:sz="6" w:space="0"/>
                  </w:tcBorders>
                  <w:noWrap w:val="0"/>
                  <w:vAlign w:val="center"/>
                </w:tcPr>
                <w:p w14:paraId="06A01A1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61</w:t>
                  </w:r>
                </w:p>
              </w:tc>
            </w:tr>
            <w:tr w14:paraId="7CDFDBF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continue"/>
                  <w:tcBorders>
                    <w:right w:val="single" w:color="auto" w:sz="6" w:space="0"/>
                  </w:tcBorders>
                  <w:noWrap w:val="0"/>
                  <w:vAlign w:val="center"/>
                </w:tcPr>
                <w:p w14:paraId="741A8921">
                  <w:pPr>
                    <w:widowControl/>
                    <w:jc w:val="center"/>
                    <w:rPr>
                      <w:rFonts w:hint="default" w:ascii="Times New Roman" w:hAnsi="Times New Roman" w:cs="Times New Roman"/>
                      <w:color w:val="auto"/>
                      <w:sz w:val="21"/>
                      <w:szCs w:val="21"/>
                      <w:highlight w:val="none"/>
                    </w:rPr>
                  </w:pPr>
                </w:p>
              </w:tc>
              <w:tc>
                <w:tcPr>
                  <w:tcW w:w="497" w:type="pct"/>
                  <w:vMerge w:val="restart"/>
                  <w:tcBorders>
                    <w:right w:val="single" w:color="auto" w:sz="6" w:space="0"/>
                  </w:tcBorders>
                  <w:noWrap w:val="0"/>
                  <w:vAlign w:val="center"/>
                </w:tcPr>
                <w:p w14:paraId="340C4EE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氮氧化物</w:t>
                  </w:r>
                </w:p>
              </w:tc>
              <w:tc>
                <w:tcPr>
                  <w:tcW w:w="2746" w:type="dxa"/>
                  <w:tcBorders>
                    <w:top w:val="single" w:color="auto" w:sz="6" w:space="0"/>
                    <w:left w:val="single" w:color="auto" w:sz="6" w:space="0"/>
                    <w:bottom w:val="single" w:color="auto" w:sz="6" w:space="0"/>
                    <w:right w:val="single" w:color="auto" w:sz="6" w:space="0"/>
                  </w:tcBorders>
                  <w:noWrap w:val="0"/>
                  <w:vAlign w:val="center"/>
                </w:tcPr>
                <w:p w14:paraId="6C85F8FA">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2025.12.11~2025.12.12</w:t>
                  </w:r>
                </w:p>
              </w:tc>
              <w:tc>
                <w:tcPr>
                  <w:tcW w:w="1306" w:type="dxa"/>
                  <w:tcBorders>
                    <w:top w:val="single" w:color="auto" w:sz="6" w:space="0"/>
                    <w:left w:val="single" w:color="auto" w:sz="6" w:space="0"/>
                    <w:bottom w:val="single" w:color="auto" w:sz="6" w:space="0"/>
                    <w:right w:val="single" w:color="auto" w:sz="6" w:space="0"/>
                  </w:tcBorders>
                  <w:noWrap w:val="0"/>
                  <w:vAlign w:val="center"/>
                </w:tcPr>
                <w:p w14:paraId="77783956">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0.038</w:t>
                  </w:r>
                </w:p>
              </w:tc>
              <w:tc>
                <w:tcPr>
                  <w:tcW w:w="723" w:type="pct"/>
                  <w:vMerge w:val="restart"/>
                  <w:tcBorders>
                    <w:top w:val="single" w:color="auto" w:sz="6" w:space="0"/>
                    <w:left w:val="single" w:color="auto" w:sz="6" w:space="0"/>
                    <w:right w:val="single" w:color="auto" w:sz="6" w:space="0"/>
                  </w:tcBorders>
                  <w:noWrap w:val="0"/>
                  <w:vAlign w:val="center"/>
                </w:tcPr>
                <w:p w14:paraId="32324F19">
                  <w:pPr>
                    <w:widowControl/>
                    <w:jc w:val="center"/>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0.1</w:t>
                  </w:r>
                </w:p>
              </w:tc>
              <w:tc>
                <w:tcPr>
                  <w:tcW w:w="1285" w:type="dxa"/>
                  <w:tcBorders>
                    <w:top w:val="single" w:color="auto" w:sz="6" w:space="0"/>
                    <w:left w:val="single" w:color="auto" w:sz="6" w:space="0"/>
                    <w:bottom w:val="single" w:color="auto" w:sz="6" w:space="0"/>
                  </w:tcBorders>
                  <w:noWrap w:val="0"/>
                  <w:vAlign w:val="center"/>
                </w:tcPr>
                <w:p w14:paraId="77E62F2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0.38</w:t>
                  </w:r>
                </w:p>
              </w:tc>
            </w:tr>
            <w:tr w14:paraId="3421FE7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continue"/>
                  <w:tcBorders>
                    <w:right w:val="single" w:color="auto" w:sz="6" w:space="0"/>
                  </w:tcBorders>
                  <w:noWrap w:val="0"/>
                  <w:vAlign w:val="center"/>
                </w:tcPr>
                <w:p w14:paraId="298FDAA4">
                  <w:pPr>
                    <w:widowControl/>
                    <w:jc w:val="center"/>
                    <w:rPr>
                      <w:rFonts w:hint="default" w:ascii="Times New Roman" w:hAnsi="Times New Roman" w:cs="Times New Roman"/>
                      <w:color w:val="auto"/>
                      <w:sz w:val="21"/>
                      <w:szCs w:val="21"/>
                      <w:highlight w:val="none"/>
                    </w:rPr>
                  </w:pPr>
                </w:p>
              </w:tc>
              <w:tc>
                <w:tcPr>
                  <w:tcW w:w="497" w:type="pct"/>
                  <w:vMerge w:val="continue"/>
                  <w:tcBorders>
                    <w:right w:val="single" w:color="auto" w:sz="6" w:space="0"/>
                  </w:tcBorders>
                  <w:noWrap w:val="0"/>
                  <w:vAlign w:val="center"/>
                </w:tcPr>
                <w:p w14:paraId="7EAC2183">
                  <w:pPr>
                    <w:widowControl/>
                    <w:jc w:val="center"/>
                    <w:rPr>
                      <w:rFonts w:hint="default" w:ascii="Times New Roman" w:hAnsi="Times New Roman" w:cs="Times New Roman"/>
                      <w:color w:val="auto"/>
                      <w:sz w:val="21"/>
                      <w:szCs w:val="21"/>
                      <w:highlight w:val="none"/>
                    </w:rPr>
                  </w:pPr>
                </w:p>
              </w:tc>
              <w:tc>
                <w:tcPr>
                  <w:tcW w:w="2746" w:type="dxa"/>
                  <w:tcBorders>
                    <w:top w:val="single" w:color="auto" w:sz="6" w:space="0"/>
                    <w:left w:val="single" w:color="auto" w:sz="6" w:space="0"/>
                    <w:bottom w:val="single" w:color="auto" w:sz="6" w:space="0"/>
                    <w:right w:val="single" w:color="auto" w:sz="6" w:space="0"/>
                  </w:tcBorders>
                  <w:noWrap w:val="0"/>
                  <w:vAlign w:val="center"/>
                </w:tcPr>
                <w:p w14:paraId="12BB194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2025.12.12~2025.12.13</w:t>
                  </w:r>
                </w:p>
              </w:tc>
              <w:tc>
                <w:tcPr>
                  <w:tcW w:w="1306" w:type="dxa"/>
                  <w:tcBorders>
                    <w:top w:val="single" w:color="auto" w:sz="6" w:space="0"/>
                    <w:left w:val="single" w:color="auto" w:sz="6" w:space="0"/>
                    <w:bottom w:val="single" w:color="auto" w:sz="6" w:space="0"/>
                    <w:right w:val="single" w:color="auto" w:sz="6" w:space="0"/>
                  </w:tcBorders>
                  <w:noWrap w:val="0"/>
                  <w:vAlign w:val="center"/>
                </w:tcPr>
                <w:p w14:paraId="4E0AFFE9">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0.044</w:t>
                  </w:r>
                </w:p>
              </w:tc>
              <w:tc>
                <w:tcPr>
                  <w:tcW w:w="723" w:type="pct"/>
                  <w:vMerge w:val="continue"/>
                  <w:tcBorders>
                    <w:left w:val="single" w:color="auto" w:sz="6" w:space="0"/>
                    <w:right w:val="single" w:color="auto" w:sz="6" w:space="0"/>
                  </w:tcBorders>
                  <w:noWrap w:val="0"/>
                  <w:vAlign w:val="center"/>
                </w:tcPr>
                <w:p w14:paraId="2F16CA1D">
                  <w:pPr>
                    <w:widowControl/>
                    <w:jc w:val="center"/>
                    <w:textAlignment w:val="center"/>
                    <w:rPr>
                      <w:rFonts w:hint="default" w:ascii="Times New Roman" w:hAnsi="Times New Roman" w:cs="Times New Roman"/>
                      <w:color w:val="auto"/>
                      <w:kern w:val="2"/>
                      <w:sz w:val="21"/>
                      <w:szCs w:val="21"/>
                      <w:highlight w:val="none"/>
                      <w:lang w:val="en-US" w:eastAsia="zh-CN" w:bidi="ar-SA"/>
                    </w:rPr>
                  </w:pPr>
                </w:p>
              </w:tc>
              <w:tc>
                <w:tcPr>
                  <w:tcW w:w="1285" w:type="dxa"/>
                  <w:tcBorders>
                    <w:top w:val="single" w:color="auto" w:sz="6" w:space="0"/>
                    <w:left w:val="single" w:color="auto" w:sz="6" w:space="0"/>
                    <w:bottom w:val="single" w:color="auto" w:sz="6" w:space="0"/>
                  </w:tcBorders>
                  <w:noWrap w:val="0"/>
                  <w:vAlign w:val="center"/>
                </w:tcPr>
                <w:p w14:paraId="5F79033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0.44</w:t>
                  </w:r>
                </w:p>
              </w:tc>
            </w:tr>
            <w:tr w14:paraId="6A211F0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97" w:type="pct"/>
                  <w:vMerge w:val="continue"/>
                  <w:tcBorders>
                    <w:right w:val="single" w:color="auto" w:sz="6" w:space="0"/>
                  </w:tcBorders>
                  <w:noWrap w:val="0"/>
                  <w:vAlign w:val="center"/>
                </w:tcPr>
                <w:p w14:paraId="52D546FC">
                  <w:pPr>
                    <w:widowControl/>
                    <w:jc w:val="center"/>
                    <w:rPr>
                      <w:rFonts w:hint="default" w:ascii="Times New Roman" w:hAnsi="Times New Roman" w:cs="Times New Roman"/>
                      <w:color w:val="auto"/>
                      <w:sz w:val="21"/>
                      <w:szCs w:val="21"/>
                      <w:highlight w:val="none"/>
                    </w:rPr>
                  </w:pPr>
                </w:p>
              </w:tc>
              <w:tc>
                <w:tcPr>
                  <w:tcW w:w="497" w:type="pct"/>
                  <w:vMerge w:val="continue"/>
                  <w:tcBorders>
                    <w:right w:val="single" w:color="auto" w:sz="6" w:space="0"/>
                  </w:tcBorders>
                  <w:noWrap w:val="0"/>
                  <w:vAlign w:val="center"/>
                </w:tcPr>
                <w:p w14:paraId="7044C068">
                  <w:pPr>
                    <w:widowControl/>
                    <w:jc w:val="center"/>
                    <w:rPr>
                      <w:rFonts w:hint="default" w:ascii="Times New Roman" w:hAnsi="Times New Roman" w:cs="Times New Roman"/>
                      <w:color w:val="auto"/>
                      <w:sz w:val="21"/>
                      <w:szCs w:val="21"/>
                      <w:highlight w:val="none"/>
                    </w:rPr>
                  </w:pPr>
                </w:p>
              </w:tc>
              <w:tc>
                <w:tcPr>
                  <w:tcW w:w="2746" w:type="dxa"/>
                  <w:tcBorders>
                    <w:top w:val="single" w:color="auto" w:sz="6" w:space="0"/>
                    <w:left w:val="single" w:color="auto" w:sz="6" w:space="0"/>
                    <w:right w:val="single" w:color="auto" w:sz="6" w:space="0"/>
                  </w:tcBorders>
                  <w:noWrap w:val="0"/>
                  <w:vAlign w:val="center"/>
                </w:tcPr>
                <w:p w14:paraId="27E9650D">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2025.12.13~2025.12.14</w:t>
                  </w:r>
                </w:p>
              </w:tc>
              <w:tc>
                <w:tcPr>
                  <w:tcW w:w="1306" w:type="dxa"/>
                  <w:tcBorders>
                    <w:top w:val="single" w:color="auto" w:sz="6" w:space="0"/>
                    <w:left w:val="single" w:color="auto" w:sz="6" w:space="0"/>
                    <w:right w:val="single" w:color="auto" w:sz="6" w:space="0"/>
                  </w:tcBorders>
                  <w:noWrap w:val="0"/>
                  <w:vAlign w:val="center"/>
                </w:tcPr>
                <w:p w14:paraId="3BE3EF61">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bidi="ar-SA"/>
                    </w:rPr>
                    <w:t>0.042</w:t>
                  </w:r>
                </w:p>
              </w:tc>
              <w:tc>
                <w:tcPr>
                  <w:tcW w:w="723" w:type="pct"/>
                  <w:vMerge w:val="continue"/>
                  <w:tcBorders>
                    <w:left w:val="single" w:color="auto" w:sz="6" w:space="0"/>
                    <w:right w:val="single" w:color="auto" w:sz="6" w:space="0"/>
                  </w:tcBorders>
                  <w:noWrap w:val="0"/>
                  <w:vAlign w:val="center"/>
                </w:tcPr>
                <w:p w14:paraId="7E725C5D">
                  <w:pPr>
                    <w:widowControl/>
                    <w:jc w:val="center"/>
                    <w:textAlignment w:val="center"/>
                    <w:rPr>
                      <w:rFonts w:hint="default" w:ascii="Times New Roman" w:hAnsi="Times New Roman" w:cs="Times New Roman"/>
                      <w:color w:val="auto"/>
                      <w:kern w:val="2"/>
                      <w:sz w:val="21"/>
                      <w:szCs w:val="21"/>
                      <w:highlight w:val="none"/>
                      <w:lang w:val="en-US" w:eastAsia="zh-CN" w:bidi="ar-SA"/>
                    </w:rPr>
                  </w:pPr>
                </w:p>
              </w:tc>
              <w:tc>
                <w:tcPr>
                  <w:tcW w:w="1285" w:type="dxa"/>
                  <w:tcBorders>
                    <w:top w:val="single" w:color="auto" w:sz="6" w:space="0"/>
                    <w:left w:val="single" w:color="auto" w:sz="6" w:space="0"/>
                  </w:tcBorders>
                  <w:noWrap w:val="0"/>
                  <w:vAlign w:val="center"/>
                </w:tcPr>
                <w:p w14:paraId="0BB00CD8">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bidi="ar-SA"/>
                    </w:rPr>
                    <w:t>0.42</w:t>
                  </w:r>
                </w:p>
              </w:tc>
            </w:tr>
          </w:tbl>
          <w:p w14:paraId="20571D29">
            <w:pPr>
              <w:autoSpaceDE w:val="0"/>
              <w:autoSpaceDN w:val="0"/>
              <w:adjustRightIn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szCs w:val="24"/>
                <w:highlight w:val="none"/>
              </w:rPr>
              <w:t>根据上表评价结果可知：</w:t>
            </w:r>
            <w:r>
              <w:rPr>
                <w:rFonts w:hint="default" w:ascii="Times New Roman" w:hAnsi="Times New Roman" w:cs="Times New Roman"/>
                <w:color w:val="auto"/>
                <w:kern w:val="0"/>
                <w:sz w:val="24"/>
                <w:szCs w:val="24"/>
                <w:highlight w:val="none"/>
              </w:rPr>
              <w:t>项目所在区域大气环境中TSP</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氮氧化物</w:t>
            </w:r>
            <w:r>
              <w:rPr>
                <w:rFonts w:hint="default" w:ascii="Times New Roman" w:hAnsi="Times New Roman" w:cs="Times New Roman"/>
                <w:color w:val="auto"/>
                <w:kern w:val="0"/>
                <w:sz w:val="24"/>
                <w:szCs w:val="24"/>
                <w:highlight w:val="none"/>
              </w:rPr>
              <w:t>达标，区域环境质量良好</w:t>
            </w:r>
            <w:r>
              <w:rPr>
                <w:rFonts w:hint="default" w:ascii="Times New Roman" w:hAnsi="Times New Roman" w:cs="Times New Roman"/>
                <w:color w:val="auto"/>
                <w:kern w:val="0"/>
                <w:sz w:val="24"/>
                <w:highlight w:val="none"/>
              </w:rPr>
              <w:t>。</w:t>
            </w:r>
          </w:p>
          <w:p w14:paraId="2686CB01">
            <w:pPr>
              <w:keepNext w:val="0"/>
              <w:keepLines w:val="0"/>
              <w:pageBreakBefore w:val="0"/>
              <w:widowControl w:val="0"/>
              <w:kinsoku/>
              <w:wordWrap/>
              <w:overflowPunct/>
              <w:autoSpaceDE/>
              <w:autoSpaceDN/>
              <w:bidi w:val="0"/>
              <w:spacing w:line="360" w:lineRule="auto"/>
              <w:ind w:left="0" w:leftChars="0"/>
              <w:textAlignment w:val="auto"/>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地表水环境质量现状调查与评价</w:t>
            </w:r>
          </w:p>
          <w:p w14:paraId="11B06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影响报告表编制技术指南（污染影响类）》，地表水监测引用与建设项目距离近的有效数据，包括近3年的规划环境影响评价的监测数据，所在流域控制单元内国家、地方控制断面监测数据，生态环境主管部门发布的水环境质量数据或地表水达标情况的结论。</w:t>
            </w:r>
          </w:p>
          <w:p w14:paraId="41829B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2"/>
                <w:highlight w:val="none"/>
                <w:lang w:val="en-US" w:eastAsia="zh-CN"/>
              </w:rPr>
              <w:t>通过现场调查，</w:t>
            </w:r>
            <w:r>
              <w:rPr>
                <w:rFonts w:hint="default" w:ascii="Times New Roman" w:hAnsi="Times New Roman" w:cs="Times New Roman"/>
                <w:color w:val="auto"/>
                <w:sz w:val="24"/>
                <w:szCs w:val="22"/>
                <w:highlight w:val="none"/>
              </w:rPr>
              <w:t>本项目</w:t>
            </w:r>
            <w:r>
              <w:rPr>
                <w:rFonts w:hint="default" w:ascii="Times New Roman" w:hAnsi="Times New Roman" w:cs="Times New Roman"/>
                <w:color w:val="auto"/>
                <w:sz w:val="24"/>
                <w:highlight w:val="none"/>
              </w:rPr>
              <w:t>现状调查范围内无常年</w:t>
            </w:r>
            <w:r>
              <w:rPr>
                <w:rFonts w:hint="default" w:ascii="Times New Roman" w:hAnsi="Times New Roman" w:cs="Times New Roman"/>
                <w:color w:val="auto"/>
                <w:sz w:val="24"/>
                <w:highlight w:val="none"/>
                <w:lang w:val="en-US" w:eastAsia="zh-CN"/>
              </w:rPr>
              <w:t>地表水</w:t>
            </w:r>
            <w:r>
              <w:rPr>
                <w:rFonts w:hint="default" w:ascii="Times New Roman" w:hAnsi="Times New Roman" w:cs="Times New Roman"/>
                <w:color w:val="auto"/>
                <w:sz w:val="24"/>
                <w:highlight w:val="none"/>
              </w:rPr>
              <w:t>，</w:t>
            </w:r>
            <w:r>
              <w:rPr>
                <w:rFonts w:hint="default" w:ascii="Times New Roman" w:hAnsi="Times New Roman" w:cs="Times New Roman"/>
                <w:color w:val="auto"/>
                <w:sz w:val="24"/>
                <w:szCs w:val="22"/>
                <w:highlight w:val="none"/>
              </w:rPr>
              <w:t>运营期生活污水为间接排放</w:t>
            </w:r>
            <w:r>
              <w:rPr>
                <w:rFonts w:hint="default" w:ascii="Times New Roman" w:hAnsi="Times New Roman" w:cs="Times New Roman"/>
                <w:color w:val="auto"/>
                <w:sz w:val="24"/>
                <w:szCs w:val="22"/>
                <w:highlight w:val="none"/>
                <w:lang w:eastAsia="zh-CN"/>
              </w:rPr>
              <w:t>。</w:t>
            </w:r>
            <w:r>
              <w:rPr>
                <w:rFonts w:hint="default" w:ascii="Times New Roman" w:hAnsi="Times New Roman" w:cs="Times New Roman"/>
                <w:color w:val="auto"/>
                <w:sz w:val="24"/>
                <w:highlight w:val="none"/>
              </w:rPr>
              <w:t>根据《环境影响评价技术导则 地表水环境》（HJ2.3-2018），评价等级为三级B，可不开展区域污染源调查</w:t>
            </w:r>
            <w:r>
              <w:rPr>
                <w:rFonts w:hint="default" w:ascii="Times New Roman" w:hAnsi="Times New Roman" w:eastAsia="宋体" w:cs="Times New Roman"/>
                <w:color w:val="auto"/>
                <w:sz w:val="24"/>
                <w:highlight w:val="none"/>
              </w:rPr>
              <w:t>。</w:t>
            </w:r>
          </w:p>
          <w:p w14:paraId="6A4AD28E">
            <w:pPr>
              <w:keepNext w:val="0"/>
              <w:keepLines w:val="0"/>
              <w:pageBreakBefore w:val="0"/>
              <w:widowControl w:val="0"/>
              <w:kinsoku w:val="0"/>
              <w:wordWrap/>
              <w:overflowPunct/>
              <w:autoSpaceDE/>
              <w:autoSpaceDN/>
              <w:bidi w:val="0"/>
              <w:adjustRightInd/>
              <w:snapToGrid/>
              <w:spacing w:beforeAutospacing="0" w:afterAutospacing="0" w:line="360" w:lineRule="auto"/>
              <w:ind w:left="0" w:leftChars="0"/>
              <w:jc w:val="left"/>
              <w:textAlignment w:val="auto"/>
              <w:outlineLvl w:val="0"/>
              <w:rPr>
                <w:rFonts w:hint="default" w:ascii="Times New Roman" w:hAnsi="Times New Roman" w:eastAsia="宋体" w:cs="Times New Roman"/>
                <w:b/>
                <w:color w:val="auto"/>
                <w:spacing w:val="6"/>
                <w:kern w:val="44"/>
                <w:sz w:val="24"/>
                <w:szCs w:val="24"/>
                <w:highlight w:val="none"/>
                <w:lang w:val="en-US" w:eastAsia="zh-CN" w:bidi="ar-SA"/>
              </w:rPr>
            </w:pPr>
            <w:r>
              <w:rPr>
                <w:rFonts w:hint="default" w:ascii="Times New Roman" w:hAnsi="Times New Roman" w:eastAsia="宋体" w:cs="Times New Roman"/>
                <w:b/>
                <w:color w:val="auto"/>
                <w:spacing w:val="6"/>
                <w:kern w:val="44"/>
                <w:sz w:val="24"/>
                <w:szCs w:val="24"/>
                <w:highlight w:val="none"/>
                <w:lang w:val="en-US" w:eastAsia="zh-CN" w:bidi="ar-SA"/>
              </w:rPr>
              <w:t>3</w:t>
            </w:r>
            <w:r>
              <w:rPr>
                <w:rFonts w:hint="default" w:ascii="Times New Roman" w:hAnsi="Times New Roman" w:cs="Times New Roman"/>
                <w:b/>
                <w:color w:val="auto"/>
                <w:spacing w:val="6"/>
                <w:kern w:val="44"/>
                <w:sz w:val="24"/>
                <w:szCs w:val="24"/>
                <w:highlight w:val="none"/>
                <w:lang w:val="en-US" w:eastAsia="zh-CN" w:bidi="ar-SA"/>
              </w:rPr>
              <w:t>、</w:t>
            </w:r>
            <w:r>
              <w:rPr>
                <w:rFonts w:hint="default" w:ascii="Times New Roman" w:hAnsi="Times New Roman" w:eastAsia="宋体" w:cs="Times New Roman"/>
                <w:b/>
                <w:color w:val="auto"/>
                <w:spacing w:val="6"/>
                <w:kern w:val="44"/>
                <w:sz w:val="24"/>
                <w:szCs w:val="24"/>
                <w:highlight w:val="none"/>
                <w:lang w:val="en-US" w:eastAsia="zh-CN" w:bidi="ar-SA"/>
              </w:rPr>
              <w:t>声环境质量现状调查与评价</w:t>
            </w:r>
          </w:p>
          <w:p w14:paraId="069D0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rPr>
              <w:t>按照《建设项目环境影响报告表编制技术指南（污染影响类）》（试行）中声环境监测要求，“厂界外周</w:t>
            </w:r>
            <w:r>
              <w:rPr>
                <w:rFonts w:hint="default" w:ascii="Times New Roman" w:hAnsi="Times New Roman" w:cs="Times New Roman"/>
                <w:color w:val="auto"/>
                <w:sz w:val="24"/>
                <w:highlight w:val="none"/>
                <w:lang w:val="en-US" w:eastAsia="zh-CN"/>
              </w:rPr>
              <w:t>边</w:t>
            </w:r>
            <w:r>
              <w:rPr>
                <w:rFonts w:hint="default" w:ascii="Times New Roman" w:hAnsi="Times New Roman" w:cs="Times New Roman"/>
                <w:color w:val="auto"/>
                <w:sz w:val="24"/>
                <w:highlight w:val="none"/>
              </w:rPr>
              <w:t>50米范围内存在声环境保护目标的建设项目，应监测保护目标声环境质量现状并评价达标情况。</w:t>
            </w:r>
            <w:r>
              <w:rPr>
                <w:rFonts w:hint="default" w:ascii="Times New Roman" w:hAnsi="Times New Roman" w:cs="Times New Roman"/>
                <w:color w:val="auto"/>
                <w:sz w:val="24"/>
                <w:highlight w:val="none"/>
                <w:lang w:val="en-US" w:eastAsia="zh-CN"/>
              </w:rPr>
              <w:t>项目</w:t>
            </w:r>
            <w:r>
              <w:rPr>
                <w:rFonts w:hint="default" w:ascii="Times New Roman" w:hAnsi="Times New Roman" w:cs="Times New Roman"/>
                <w:color w:val="auto"/>
                <w:sz w:val="24"/>
                <w:highlight w:val="none"/>
              </w:rPr>
              <w:t>厂界外周</w:t>
            </w:r>
            <w:r>
              <w:rPr>
                <w:rFonts w:hint="default" w:ascii="Times New Roman" w:hAnsi="Times New Roman" w:cs="Times New Roman"/>
                <w:color w:val="auto"/>
                <w:sz w:val="24"/>
                <w:highlight w:val="none"/>
                <w:lang w:val="en-US" w:eastAsia="zh-CN"/>
              </w:rPr>
              <w:t>边</w:t>
            </w:r>
            <w:r>
              <w:rPr>
                <w:rFonts w:hint="default" w:ascii="Times New Roman" w:hAnsi="Times New Roman" w:cs="Times New Roman"/>
                <w:color w:val="auto"/>
                <w:sz w:val="24"/>
                <w:highlight w:val="none"/>
              </w:rPr>
              <w:t>50米</w:t>
            </w:r>
            <w:r>
              <w:rPr>
                <w:rFonts w:hint="default" w:ascii="Times New Roman" w:hAnsi="Times New Roman" w:eastAsia="宋体" w:cs="Times New Roman"/>
                <w:color w:val="auto"/>
                <w:kern w:val="0"/>
                <w:sz w:val="24"/>
                <w:highlight w:val="none"/>
              </w:rPr>
              <w:t>范围内无</w:t>
            </w:r>
            <w:r>
              <w:rPr>
                <w:rFonts w:hint="default" w:ascii="Times New Roman" w:hAnsi="Times New Roman" w:cs="Times New Roman"/>
                <w:color w:val="auto"/>
                <w:sz w:val="24"/>
                <w:highlight w:val="none"/>
              </w:rPr>
              <w:t>声环境保护目标</w:t>
            </w:r>
            <w:r>
              <w:rPr>
                <w:rFonts w:hint="default" w:ascii="Times New Roman" w:hAnsi="Times New Roman" w:eastAsia="宋体" w:cs="Times New Roman"/>
                <w:color w:val="auto"/>
                <w:kern w:val="0"/>
                <w:sz w:val="24"/>
                <w:highlight w:val="none"/>
              </w:rPr>
              <w:t>，</w:t>
            </w:r>
            <w:r>
              <w:rPr>
                <w:rFonts w:hint="default" w:ascii="Times New Roman" w:hAnsi="Times New Roman" w:cs="Times New Roman"/>
                <w:color w:val="auto"/>
                <w:kern w:val="0"/>
                <w:sz w:val="24"/>
                <w:highlight w:val="none"/>
                <w:lang w:val="en-US" w:eastAsia="zh-CN"/>
              </w:rPr>
              <w:t>因此不</w:t>
            </w:r>
            <w:r>
              <w:rPr>
                <w:rFonts w:hint="default" w:ascii="Times New Roman" w:hAnsi="Times New Roman" w:cs="Times New Roman"/>
                <w:snapToGrid w:val="0"/>
                <w:color w:val="auto"/>
                <w:sz w:val="24"/>
                <w:highlight w:val="none"/>
              </w:rPr>
              <w:t>开展</w:t>
            </w:r>
            <w:r>
              <w:rPr>
                <w:rFonts w:hint="default" w:ascii="Times New Roman" w:hAnsi="Times New Roman" w:eastAsia="宋体" w:cs="Times New Roman"/>
                <w:color w:val="auto"/>
                <w:kern w:val="0"/>
                <w:sz w:val="24"/>
                <w:highlight w:val="none"/>
              </w:rPr>
              <w:t>声环境质量现状监测</w:t>
            </w:r>
            <w:r>
              <w:rPr>
                <w:rFonts w:hint="default" w:ascii="Times New Roman" w:hAnsi="Times New Roman" w:cs="Times New Roman"/>
                <w:color w:val="auto"/>
                <w:kern w:val="0"/>
                <w:sz w:val="24"/>
                <w:highlight w:val="none"/>
                <w:lang w:val="en-US" w:eastAsia="zh-CN"/>
              </w:rPr>
              <w:t>及</w:t>
            </w:r>
            <w:r>
              <w:rPr>
                <w:rFonts w:hint="default" w:ascii="Times New Roman" w:hAnsi="Times New Roman" w:eastAsia="宋体" w:cs="Times New Roman"/>
                <w:color w:val="auto"/>
                <w:kern w:val="0"/>
                <w:sz w:val="24"/>
                <w:highlight w:val="none"/>
              </w:rPr>
              <w:t>评价。</w:t>
            </w:r>
          </w:p>
          <w:p w14:paraId="45FF2B88">
            <w:pPr>
              <w:keepNext w:val="0"/>
              <w:keepLines w:val="0"/>
              <w:pageBreakBefore w:val="0"/>
              <w:widowControl w:val="0"/>
              <w:kinsoku/>
              <w:wordWrap/>
              <w:overflowPunct/>
              <w:autoSpaceDE/>
              <w:autoSpaceDN/>
              <w:bidi w:val="0"/>
              <w:adjustRightInd/>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生态环境质量现状调查与评价</w:t>
            </w:r>
          </w:p>
          <w:p w14:paraId="31F87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snapToGrid w:val="0"/>
                <w:color w:val="auto"/>
                <w:sz w:val="24"/>
                <w:highlight w:val="none"/>
              </w:rPr>
              <w:t>根据《建设项目环境影响报告表编制技术指南（污染影响类）》（试行）中规定，产业园区外建设项目新增用地且用地范围内含有生态环境保护目标的应进行生态现状调查。本项目</w:t>
            </w:r>
            <w:r>
              <w:rPr>
                <w:rFonts w:hint="default" w:ascii="Times New Roman" w:hAnsi="Times New Roman" w:cs="Times New Roman"/>
                <w:snapToGrid w:val="0"/>
                <w:color w:val="auto"/>
                <w:sz w:val="24"/>
                <w:highlight w:val="none"/>
                <w:lang w:val="en-US" w:eastAsia="zh-CN"/>
              </w:rPr>
              <w:t>所在区域</w:t>
            </w:r>
            <w:r>
              <w:rPr>
                <w:rFonts w:hint="default" w:ascii="Times New Roman" w:hAnsi="Times New Roman" w:cs="Times New Roman"/>
                <w:snapToGrid w:val="0"/>
                <w:color w:val="auto"/>
                <w:sz w:val="24"/>
                <w:highlight w:val="none"/>
              </w:rPr>
              <w:t>不存在生态环境保护目标，</w:t>
            </w:r>
            <w:r>
              <w:rPr>
                <w:rFonts w:hint="default" w:ascii="Times New Roman" w:hAnsi="Times New Roman" w:cs="Times New Roman"/>
                <w:color w:val="auto"/>
                <w:kern w:val="0"/>
                <w:sz w:val="24"/>
                <w:highlight w:val="none"/>
                <w:lang w:val="en-US" w:eastAsia="zh-CN"/>
              </w:rPr>
              <w:t>因此</w:t>
            </w:r>
            <w:r>
              <w:rPr>
                <w:rFonts w:hint="default" w:ascii="Times New Roman" w:hAnsi="Times New Roman" w:cs="Times New Roman"/>
                <w:snapToGrid w:val="0"/>
                <w:color w:val="auto"/>
                <w:sz w:val="24"/>
                <w:highlight w:val="none"/>
              </w:rPr>
              <w:t>不开展生态环境现状调查</w:t>
            </w:r>
            <w:r>
              <w:rPr>
                <w:rFonts w:hint="default" w:ascii="Times New Roman" w:hAnsi="Times New Roman" w:eastAsia="宋体" w:cs="Times New Roman"/>
                <w:color w:val="auto"/>
                <w:sz w:val="24"/>
                <w:highlight w:val="none"/>
                <w:lang w:val="en-US" w:eastAsia="zh-CN"/>
              </w:rPr>
              <w:t>。</w:t>
            </w:r>
          </w:p>
          <w:p w14:paraId="2854828D">
            <w:pPr>
              <w:keepNext w:val="0"/>
              <w:keepLines w:val="0"/>
              <w:pageBreakBefore w:val="0"/>
              <w:widowControl w:val="0"/>
              <w:wordWrap/>
              <w:overflowPunct/>
              <w:autoSpaceDE/>
              <w:autoSpaceDN/>
              <w:bidi w:val="0"/>
              <w:adjustRightInd/>
              <w:snapToGrid/>
              <w:spacing w:line="360" w:lineRule="auto"/>
              <w:ind w:left="0" w:lef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地下水</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lang w:val="en-US" w:eastAsia="zh-CN"/>
              </w:rPr>
              <w:t>土壤</w:t>
            </w:r>
            <w:r>
              <w:rPr>
                <w:rFonts w:hint="default" w:ascii="Times New Roman" w:hAnsi="Times New Roman" w:eastAsia="宋体" w:cs="Times New Roman"/>
                <w:b/>
                <w:color w:val="auto"/>
                <w:sz w:val="24"/>
                <w:szCs w:val="24"/>
                <w:highlight w:val="none"/>
              </w:rPr>
              <w:t>环境质量现状监测与评价</w:t>
            </w:r>
          </w:p>
          <w:p w14:paraId="545AF65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snapToGrid w:val="0"/>
                <w:color w:val="auto"/>
                <w:sz w:val="24"/>
                <w:highlight w:val="none"/>
              </w:rPr>
              <w:t>根据《关于印发</w:t>
            </w:r>
            <w:r>
              <w:rPr>
                <w:rFonts w:hint="default" w:ascii="Times New Roman" w:hAnsi="Times New Roman" w:cs="Times New Roman"/>
                <w:snapToGrid w:val="0"/>
                <w:color w:val="auto"/>
                <w:sz w:val="24"/>
                <w:highlight w:val="none"/>
                <w:lang w:eastAsia="zh-CN"/>
              </w:rPr>
              <w:t>〈</w:t>
            </w:r>
            <w:r>
              <w:rPr>
                <w:rFonts w:hint="default" w:ascii="Times New Roman" w:hAnsi="Times New Roman" w:cs="Times New Roman"/>
                <w:snapToGrid w:val="0"/>
                <w:color w:val="auto"/>
                <w:sz w:val="24"/>
                <w:highlight w:val="none"/>
              </w:rPr>
              <w:t>建设项目环境影响报告表</w:t>
            </w:r>
            <w:r>
              <w:rPr>
                <w:rFonts w:hint="default" w:ascii="Times New Roman" w:hAnsi="Times New Roman" w:cs="Times New Roman"/>
                <w:snapToGrid w:val="0"/>
                <w:color w:val="auto"/>
                <w:sz w:val="24"/>
                <w:highlight w:val="none"/>
                <w:lang w:eastAsia="zh-CN"/>
              </w:rPr>
              <w:t>〉</w:t>
            </w:r>
            <w:r>
              <w:rPr>
                <w:rFonts w:hint="default" w:ascii="Times New Roman" w:hAnsi="Times New Roman" w:cs="Times New Roman"/>
                <w:snapToGrid w:val="0"/>
                <w:color w:val="auto"/>
                <w:sz w:val="24"/>
                <w:highlight w:val="none"/>
              </w:rPr>
              <w:t>内容、格式及编制技术指南的通知》（环办环评〔2020〕33号），原则上不开展环境质量现状调查。建设项目存在土壤</w:t>
            </w:r>
            <w:r>
              <w:rPr>
                <w:rFonts w:hint="default" w:ascii="Times New Roman" w:hAnsi="Times New Roman" w:cs="Times New Roman"/>
                <w:snapToGrid w:val="0"/>
                <w:color w:val="auto"/>
                <w:sz w:val="24"/>
                <w:highlight w:val="none"/>
                <w:lang w:eastAsia="zh-CN"/>
              </w:rPr>
              <w:t>、地下水</w:t>
            </w:r>
            <w:r>
              <w:rPr>
                <w:rFonts w:hint="default" w:ascii="Times New Roman" w:hAnsi="Times New Roman" w:cs="Times New Roman"/>
                <w:snapToGrid w:val="0"/>
                <w:color w:val="auto"/>
                <w:sz w:val="24"/>
                <w:highlight w:val="none"/>
              </w:rPr>
              <w:t>环境污染途径的，应结合污染源、保护目标分布情况开展现状调查以留作背景值。本项目不存在土壤环境污染途径，</w:t>
            </w:r>
            <w:r>
              <w:rPr>
                <w:rFonts w:hint="default" w:ascii="Times New Roman" w:hAnsi="Times New Roman" w:cs="Times New Roman"/>
                <w:snapToGrid w:val="0"/>
                <w:color w:val="auto"/>
                <w:sz w:val="24"/>
                <w:highlight w:val="none"/>
                <w:lang w:val="en-US" w:eastAsia="zh-CN"/>
              </w:rPr>
              <w:t>因此</w:t>
            </w:r>
            <w:r>
              <w:rPr>
                <w:rFonts w:hint="default" w:ascii="Times New Roman" w:hAnsi="Times New Roman" w:cs="Times New Roman"/>
                <w:snapToGrid w:val="0"/>
                <w:color w:val="auto"/>
                <w:sz w:val="24"/>
                <w:highlight w:val="none"/>
              </w:rPr>
              <w:t>不需要开展土壤</w:t>
            </w:r>
            <w:r>
              <w:rPr>
                <w:rFonts w:hint="default" w:ascii="Times New Roman" w:hAnsi="Times New Roman" w:cs="Times New Roman"/>
                <w:snapToGrid w:val="0"/>
                <w:color w:val="auto"/>
                <w:sz w:val="24"/>
                <w:highlight w:val="none"/>
                <w:lang w:eastAsia="zh-CN"/>
              </w:rPr>
              <w:t>、地下水</w:t>
            </w:r>
            <w:r>
              <w:rPr>
                <w:rFonts w:hint="default" w:ascii="Times New Roman" w:hAnsi="Times New Roman" w:cs="Times New Roman"/>
                <w:snapToGrid w:val="0"/>
                <w:color w:val="auto"/>
                <w:sz w:val="24"/>
                <w:highlight w:val="none"/>
              </w:rPr>
              <w:t>环境质量现状调查</w:t>
            </w:r>
            <w:r>
              <w:rPr>
                <w:rFonts w:hint="default" w:ascii="Times New Roman" w:hAnsi="Times New Roman" w:eastAsia="宋体" w:cs="Times New Roman"/>
                <w:color w:val="auto"/>
                <w:sz w:val="24"/>
                <w:highlight w:val="none"/>
              </w:rPr>
              <w:t>。</w:t>
            </w:r>
          </w:p>
        </w:tc>
      </w:tr>
      <w:tr w14:paraId="6432B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5" w:hRule="atLeast"/>
          <w:jc w:val="center"/>
        </w:trPr>
        <w:tc>
          <w:tcPr>
            <w:tcW w:w="698" w:type="dxa"/>
            <w:noWrap w:val="0"/>
            <w:vAlign w:val="center"/>
          </w:tcPr>
          <w:p w14:paraId="556CBD60">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14:paraId="29B8CAF6">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保护</w:t>
            </w:r>
          </w:p>
          <w:p w14:paraId="7AC44ABB">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目标</w:t>
            </w:r>
          </w:p>
        </w:tc>
        <w:tc>
          <w:tcPr>
            <w:tcW w:w="8363" w:type="dxa"/>
            <w:noWrap w:val="0"/>
            <w:vAlign w:val="center"/>
          </w:tcPr>
          <w:p w14:paraId="3F9EC3B7">
            <w:pPr>
              <w:shd w:val="clear" w:color="auto" w:fill="auto"/>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大气环境：根据现场调查，本项目位于</w:t>
            </w:r>
            <w:r>
              <w:rPr>
                <w:rFonts w:hint="default" w:ascii="Times New Roman" w:hAnsi="Times New Roman" w:cs="Times New Roman"/>
                <w:b w:val="0"/>
                <w:bCs w:val="0"/>
                <w:color w:val="auto"/>
                <w:sz w:val="24"/>
                <w:szCs w:val="24"/>
                <w:highlight w:val="none"/>
                <w:lang w:val="en-US" w:eastAsia="zh-CN"/>
              </w:rPr>
              <w:t>新疆兵团第七师129团</w:t>
            </w:r>
            <w:r>
              <w:rPr>
                <w:rFonts w:hint="default" w:ascii="Times New Roman" w:hAnsi="Times New Roman" w:cs="Times New Roman"/>
                <w:color w:val="auto"/>
                <w:kern w:val="0"/>
                <w:sz w:val="24"/>
                <w:highlight w:val="none"/>
              </w:rPr>
              <w:t>，用地性质为</w:t>
            </w:r>
            <w:r>
              <w:rPr>
                <w:rFonts w:hint="default" w:ascii="Times New Roman" w:hAnsi="Times New Roman" w:cs="Times New Roman"/>
                <w:color w:val="auto"/>
                <w:kern w:val="0"/>
                <w:sz w:val="24"/>
                <w:highlight w:val="none"/>
                <w:lang w:val="en-US" w:eastAsia="zh-CN"/>
              </w:rPr>
              <w:t>二类</w:t>
            </w:r>
            <w:r>
              <w:rPr>
                <w:rFonts w:hint="default" w:ascii="Times New Roman" w:hAnsi="Times New Roman" w:cs="Times New Roman"/>
                <w:color w:val="auto"/>
                <w:kern w:val="0"/>
                <w:sz w:val="24"/>
                <w:highlight w:val="none"/>
              </w:rPr>
              <w:t>工业用地，厂界500</w:t>
            </w:r>
            <w:r>
              <w:rPr>
                <w:rFonts w:hint="default" w:ascii="Times New Roman" w:hAnsi="Times New Roman" w:cs="Times New Roman"/>
                <w:color w:val="auto"/>
                <w:kern w:val="0"/>
                <w:sz w:val="24"/>
                <w:highlight w:val="none"/>
                <w:lang w:eastAsia="zh-CN"/>
              </w:rPr>
              <w:t>米</w:t>
            </w:r>
            <w:r>
              <w:rPr>
                <w:rFonts w:hint="default" w:ascii="Times New Roman" w:hAnsi="Times New Roman" w:cs="Times New Roman"/>
                <w:color w:val="auto"/>
                <w:kern w:val="0"/>
                <w:sz w:val="24"/>
                <w:highlight w:val="none"/>
              </w:rPr>
              <w:t>范围内无自然保护区、风景名胜区、居住区、文化区和农村地区中人群较集中的区域等保护目标。</w:t>
            </w:r>
          </w:p>
          <w:p w14:paraId="47EB9C5F">
            <w:pPr>
              <w:shd w:val="clear" w:color="auto" w:fill="auto"/>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声环境：项目区周围50</w:t>
            </w:r>
            <w:r>
              <w:rPr>
                <w:rFonts w:hint="default" w:ascii="Times New Roman" w:hAnsi="Times New Roman" w:cs="Times New Roman"/>
                <w:color w:val="auto"/>
                <w:kern w:val="0"/>
                <w:sz w:val="24"/>
                <w:highlight w:val="none"/>
                <w:lang w:eastAsia="zh-CN"/>
              </w:rPr>
              <w:t>米</w:t>
            </w:r>
            <w:r>
              <w:rPr>
                <w:rFonts w:hint="default" w:ascii="Times New Roman" w:hAnsi="Times New Roman" w:cs="Times New Roman"/>
                <w:color w:val="auto"/>
                <w:kern w:val="0"/>
                <w:sz w:val="24"/>
                <w:highlight w:val="none"/>
              </w:rPr>
              <w:t>范围</w:t>
            </w:r>
            <w:r>
              <w:rPr>
                <w:rFonts w:hint="default" w:ascii="Times New Roman" w:hAnsi="Times New Roman" w:cs="Times New Roman"/>
                <w:color w:val="auto"/>
                <w:kern w:val="0"/>
                <w:sz w:val="24"/>
                <w:highlight w:val="none"/>
                <w:lang w:eastAsia="zh-CN"/>
              </w:rPr>
              <w:t>无</w:t>
            </w:r>
            <w:r>
              <w:rPr>
                <w:rFonts w:hint="default" w:ascii="Times New Roman" w:hAnsi="Times New Roman" w:cs="Times New Roman"/>
                <w:color w:val="auto"/>
                <w:kern w:val="0"/>
                <w:sz w:val="24"/>
                <w:highlight w:val="none"/>
              </w:rPr>
              <w:t>声环境保护目标。</w:t>
            </w:r>
          </w:p>
          <w:p w14:paraId="53365DE0">
            <w:pPr>
              <w:shd w:val="clear" w:color="auto" w:fill="auto"/>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地下水环境：厂界外500米范围内无地下水集中式饮用水水源和热水、矿泉水、温泉等特殊地下水资源。</w:t>
            </w:r>
          </w:p>
          <w:p w14:paraId="75D5F3D9">
            <w:pPr>
              <w:pageBreakBefore w:val="0"/>
              <w:widowControl w:val="0"/>
              <w:wordWrap/>
              <w:overflowPunct/>
              <w:topLinePunct w:val="0"/>
              <w:autoSpaceDE/>
              <w:autoSpaceDN/>
              <w:bidi w:val="0"/>
              <w:snapToGrid/>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生态环境：本项目位于</w:t>
            </w:r>
            <w:r>
              <w:rPr>
                <w:rFonts w:hint="default" w:ascii="Times New Roman" w:hAnsi="Times New Roman" w:cs="Times New Roman"/>
                <w:b w:val="0"/>
                <w:bCs w:val="0"/>
                <w:color w:val="auto"/>
                <w:sz w:val="24"/>
                <w:szCs w:val="24"/>
                <w:highlight w:val="none"/>
                <w:lang w:val="en-US" w:eastAsia="zh-CN"/>
              </w:rPr>
              <w:t>新疆兵团第七师129团</w:t>
            </w:r>
            <w:r>
              <w:rPr>
                <w:rFonts w:hint="default" w:ascii="Times New Roman" w:hAnsi="Times New Roman" w:cs="Times New Roman"/>
                <w:color w:val="auto"/>
                <w:kern w:val="0"/>
                <w:sz w:val="24"/>
                <w:highlight w:val="none"/>
              </w:rPr>
              <w:t>，周边</w:t>
            </w:r>
            <w:r>
              <w:rPr>
                <w:rFonts w:hint="default" w:ascii="Times New Roman" w:hAnsi="Times New Roman" w:cs="Times New Roman"/>
                <w:color w:val="auto"/>
                <w:kern w:val="0"/>
                <w:sz w:val="24"/>
                <w:highlight w:val="none"/>
                <w:lang w:eastAsia="zh-CN"/>
              </w:rPr>
              <w:t>无</w:t>
            </w:r>
            <w:r>
              <w:rPr>
                <w:rFonts w:hint="default" w:ascii="Times New Roman" w:hAnsi="Times New Roman" w:cs="Times New Roman"/>
                <w:color w:val="auto"/>
                <w:kern w:val="0"/>
                <w:sz w:val="24"/>
                <w:highlight w:val="none"/>
              </w:rPr>
              <w:t>生态环境保护目标</w:t>
            </w:r>
            <w:r>
              <w:rPr>
                <w:rFonts w:hint="default" w:ascii="Times New Roman" w:hAnsi="Times New Roman" w:eastAsia="宋体" w:cs="Times New Roman"/>
                <w:color w:val="auto"/>
                <w:sz w:val="24"/>
                <w:szCs w:val="24"/>
                <w:highlight w:val="none"/>
              </w:rPr>
              <w:t>。</w:t>
            </w:r>
          </w:p>
        </w:tc>
      </w:tr>
      <w:tr w14:paraId="4C233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0"/>
            <w:tcMar>
              <w:left w:w="28" w:type="dxa"/>
              <w:right w:w="28" w:type="dxa"/>
            </w:tcMar>
            <w:vAlign w:val="center"/>
          </w:tcPr>
          <w:p w14:paraId="3179F6C6">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污染</w:t>
            </w:r>
          </w:p>
          <w:p w14:paraId="75599AF2">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物排</w:t>
            </w:r>
          </w:p>
          <w:p w14:paraId="1B9342C9">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放控</w:t>
            </w:r>
          </w:p>
          <w:p w14:paraId="0DECAB8B">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制标</w:t>
            </w:r>
          </w:p>
          <w:p w14:paraId="12A10AAF">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准</w:t>
            </w:r>
          </w:p>
        </w:tc>
        <w:tc>
          <w:tcPr>
            <w:tcW w:w="8363" w:type="dxa"/>
            <w:noWrap w:val="0"/>
            <w:vAlign w:val="center"/>
          </w:tcPr>
          <w:p w14:paraId="04A30910">
            <w:pPr>
              <w:wordWrap w:val="0"/>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kern w:val="0"/>
                <w:sz w:val="24"/>
                <w:highlight w:val="none"/>
                <w:lang w:val="en-US" w:eastAsia="zh-CN"/>
              </w:rPr>
              <w:t>1、</w:t>
            </w:r>
            <w:r>
              <w:rPr>
                <w:rFonts w:hint="default" w:ascii="Times New Roman" w:hAnsi="Times New Roman" w:cs="Times New Roman"/>
                <w:b/>
                <w:bCs/>
                <w:color w:val="auto"/>
                <w:kern w:val="0"/>
                <w:sz w:val="24"/>
                <w:highlight w:val="none"/>
              </w:rPr>
              <w:t>大气污染物排放标准</w:t>
            </w:r>
          </w:p>
          <w:p w14:paraId="093111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（1）生物质燃烧废气</w:t>
            </w:r>
          </w:p>
          <w:p w14:paraId="3F85ED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根据《锅炉大气污染物排放标准》（GB13271-2014）可知，生物质锅炉执行燃煤锅炉排放控制要求。但依据《国家能源局环境保护部关于加强生物质成型燃料锅炉供热示范项目建设管理工作有关要求的通知》（国能新能﹝201</w:t>
            </w:r>
            <w:r>
              <w:rPr>
                <w:rFonts w:hint="eastAsia"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lang w:val="en-US" w:eastAsia="zh-CN"/>
              </w:rPr>
              <w:t>﹞520号）</w:t>
            </w:r>
            <w:r>
              <w:rPr>
                <w:rFonts w:hint="eastAsia" w:cs="Times New Roman"/>
                <w:color w:val="auto"/>
                <w:kern w:val="0"/>
                <w:sz w:val="24"/>
                <w:highlight w:val="none"/>
                <w:lang w:val="en-US" w:eastAsia="zh-CN"/>
              </w:rPr>
              <w:t>相关</w:t>
            </w:r>
            <w:r>
              <w:rPr>
                <w:rFonts w:hint="default" w:ascii="Times New Roman" w:hAnsi="Times New Roman" w:cs="Times New Roman"/>
                <w:color w:val="auto"/>
                <w:kern w:val="0"/>
                <w:sz w:val="24"/>
                <w:highlight w:val="none"/>
                <w:lang w:val="en-US" w:eastAsia="zh-CN"/>
              </w:rPr>
              <w:t>要求</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严格锅炉大气污染物排放控制</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按照国能新能[2014]295号文件要求，示范项目的烟尘、SO</w:t>
            </w:r>
            <w:r>
              <w:rPr>
                <w:rFonts w:hint="default" w:ascii="Times New Roman" w:hAnsi="Times New Roman" w:cs="Times New Roman"/>
                <w:color w:val="auto"/>
                <w:kern w:val="0"/>
                <w:sz w:val="24"/>
                <w:highlight w:val="none"/>
                <w:vertAlign w:val="subscript"/>
                <w:lang w:val="en-US" w:eastAsia="zh-CN"/>
              </w:rPr>
              <w:t>2</w:t>
            </w:r>
            <w:r>
              <w:rPr>
                <w:rFonts w:hint="default" w:ascii="Times New Roman" w:hAnsi="Times New Roman" w:cs="Times New Roman"/>
                <w:color w:val="auto"/>
                <w:kern w:val="0"/>
                <w:sz w:val="24"/>
                <w:highlight w:val="none"/>
                <w:lang w:val="en-US" w:eastAsia="zh-CN"/>
              </w:rPr>
              <w:t>、NOx排放浓度在分别小于30mg/m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、50mg/m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、200mg/m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的基础上，进一步严格控制排放，达到或优于天然气排放标准（折算基准氧含量排放浓度时，暂定按9%执行；烟囱高度参照天然气标准，具体高度按批复的环境影响评价文件确定）。在重点地区建设的示范项目，烟尘、SO</w:t>
            </w:r>
            <w:r>
              <w:rPr>
                <w:rFonts w:hint="default" w:ascii="Times New Roman" w:hAnsi="Times New Roman" w:cs="Times New Roman"/>
                <w:color w:val="auto"/>
                <w:kern w:val="0"/>
                <w:sz w:val="24"/>
                <w:highlight w:val="none"/>
                <w:vertAlign w:val="subscript"/>
                <w:lang w:val="en-US" w:eastAsia="zh-CN"/>
              </w:rPr>
              <w:t>2</w:t>
            </w:r>
            <w:r>
              <w:rPr>
                <w:rFonts w:hint="default" w:ascii="Times New Roman" w:hAnsi="Times New Roman" w:cs="Times New Roman"/>
                <w:color w:val="auto"/>
                <w:kern w:val="0"/>
                <w:sz w:val="24"/>
                <w:highlight w:val="none"/>
                <w:lang w:val="en-US" w:eastAsia="zh-CN"/>
              </w:rPr>
              <w:t>、NOx排放浓度应达到天然气特别排放限值。综合考虑后项目</w:t>
            </w:r>
            <w:r>
              <w:rPr>
                <w:rFonts w:hint="eastAsia" w:cs="Times New Roman"/>
                <w:color w:val="auto"/>
                <w:kern w:val="0"/>
                <w:sz w:val="24"/>
                <w:highlight w:val="none"/>
                <w:lang w:val="en-US" w:eastAsia="zh-CN"/>
              </w:rPr>
              <w:t>污染物</w:t>
            </w:r>
            <w:r>
              <w:rPr>
                <w:rFonts w:hint="default" w:ascii="Times New Roman" w:hAnsi="Times New Roman" w:cs="Times New Roman"/>
                <w:color w:val="auto"/>
                <w:kern w:val="0"/>
                <w:sz w:val="24"/>
                <w:highlight w:val="none"/>
                <w:lang w:val="en-US" w:eastAsia="zh-CN"/>
              </w:rPr>
              <w:t>排放浓度执行《锅炉大气污染物排放标准》（GB13271-2014）表</w:t>
            </w:r>
            <w:r>
              <w:rPr>
                <w:rFonts w:hint="eastAsia" w:cs="Times New Roman"/>
                <w:color w:val="auto"/>
                <w:kern w:val="0"/>
                <w:sz w:val="24"/>
                <w:highlight w:val="none"/>
                <w:lang w:val="en-US" w:eastAsia="zh-CN"/>
              </w:rPr>
              <w:t>3</w:t>
            </w:r>
            <w:r>
              <w:rPr>
                <w:rFonts w:hint="default" w:ascii="Times New Roman" w:hAnsi="Times New Roman" w:cs="Times New Roman"/>
                <w:color w:val="auto"/>
                <w:kern w:val="0"/>
                <w:sz w:val="24"/>
                <w:highlight w:val="none"/>
                <w:lang w:val="en-US" w:eastAsia="zh-CN"/>
              </w:rPr>
              <w:t>燃气锅炉</w:t>
            </w:r>
            <w:r>
              <w:rPr>
                <w:rFonts w:hint="eastAsia" w:cs="Times New Roman"/>
                <w:color w:val="auto"/>
                <w:kern w:val="0"/>
                <w:sz w:val="24"/>
                <w:highlight w:val="none"/>
                <w:lang w:val="en-US" w:eastAsia="zh-CN"/>
              </w:rPr>
              <w:t>特别</w:t>
            </w:r>
            <w:r>
              <w:rPr>
                <w:rFonts w:hint="default" w:ascii="Times New Roman" w:hAnsi="Times New Roman" w:cs="Times New Roman"/>
                <w:color w:val="auto"/>
                <w:kern w:val="0"/>
                <w:sz w:val="24"/>
                <w:highlight w:val="none"/>
                <w:lang w:val="en-US" w:eastAsia="zh-CN"/>
              </w:rPr>
              <w:t>排放限值</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烟囱高度参照天然气标准。详见表3-5。</w:t>
            </w:r>
          </w:p>
          <w:p w14:paraId="10AC7916">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highlight w:val="none"/>
                <w:lang w:val="en-US" w:eastAsia="zh-CN"/>
              </w:rPr>
              <w:t>表3-5    新建锅炉大气污染物排放浓度限值（燃煤锅炉）</w:t>
            </w:r>
            <w:r>
              <w:rPr>
                <w:rFonts w:hint="default" w:ascii="Times New Roman" w:hAnsi="Times New Roman" w:cs="Times New Roman"/>
                <w:b/>
                <w:bCs/>
                <w:color w:val="auto"/>
                <w:highlight w:val="none"/>
              </w:rPr>
              <w:t xml:space="preserve">   单位：mg/m³</w:t>
            </w:r>
          </w:p>
          <w:tbl>
            <w:tblPr>
              <w:tblStyle w:val="20"/>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2522"/>
              <w:gridCol w:w="2484"/>
            </w:tblGrid>
            <w:tr w14:paraId="04A59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4" w:type="dxa"/>
                  <w:vAlign w:val="center"/>
                </w:tcPr>
                <w:p w14:paraId="15F9EE0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污染物</w:t>
                  </w:r>
                </w:p>
              </w:tc>
              <w:tc>
                <w:tcPr>
                  <w:tcW w:w="2522" w:type="dxa"/>
                  <w:vAlign w:val="center"/>
                </w:tcPr>
                <w:p w14:paraId="2626FA6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限值</w:t>
                  </w:r>
                </w:p>
              </w:tc>
              <w:tc>
                <w:tcPr>
                  <w:tcW w:w="2484" w:type="dxa"/>
                  <w:tcBorders>
                    <w:bottom w:val="single" w:color="auto" w:sz="12" w:space="0"/>
                  </w:tcBorders>
                  <w:vAlign w:val="center"/>
                </w:tcPr>
                <w:p w14:paraId="7D43600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污染物排放监控位置</w:t>
                  </w:r>
                </w:p>
              </w:tc>
            </w:tr>
            <w:tr w14:paraId="014C56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4" w:type="dxa"/>
                  <w:tcBorders>
                    <w:top w:val="single" w:color="auto" w:sz="12" w:space="0"/>
                    <w:bottom w:val="single" w:color="auto" w:sz="4" w:space="0"/>
                    <w:tl2br w:val="nil"/>
                    <w:tr2bl w:val="nil"/>
                  </w:tcBorders>
                  <w:vAlign w:val="center"/>
                </w:tcPr>
                <w:p w14:paraId="7F3F8E1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颗粒物</w:t>
                  </w:r>
                </w:p>
              </w:tc>
              <w:tc>
                <w:tcPr>
                  <w:tcW w:w="2522" w:type="dxa"/>
                  <w:tcBorders>
                    <w:top w:val="single" w:color="auto" w:sz="12" w:space="0"/>
                    <w:tl2br w:val="nil"/>
                    <w:tr2bl w:val="nil"/>
                  </w:tcBorders>
                  <w:vAlign w:val="center"/>
                </w:tcPr>
                <w:p w14:paraId="0146C0E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w:t>
                  </w:r>
                </w:p>
              </w:tc>
              <w:tc>
                <w:tcPr>
                  <w:tcW w:w="2484" w:type="dxa"/>
                  <w:vMerge w:val="restart"/>
                  <w:tcBorders>
                    <w:top w:val="single" w:color="auto" w:sz="12" w:space="0"/>
                    <w:tl2br w:val="nil"/>
                    <w:tr2bl w:val="nil"/>
                  </w:tcBorders>
                  <w:vAlign w:val="center"/>
                </w:tcPr>
                <w:p w14:paraId="715C9D9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烟囱或烟道</w:t>
                  </w:r>
                </w:p>
              </w:tc>
            </w:tr>
            <w:tr w14:paraId="05B315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4" w:type="dxa"/>
                  <w:tcBorders>
                    <w:top w:val="single" w:color="auto" w:sz="4" w:space="0"/>
                    <w:bottom w:val="single" w:color="auto" w:sz="4" w:space="0"/>
                  </w:tcBorders>
                  <w:vAlign w:val="center"/>
                </w:tcPr>
                <w:p w14:paraId="31FDA40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二氧化硫</w:t>
                  </w:r>
                </w:p>
              </w:tc>
              <w:tc>
                <w:tcPr>
                  <w:tcW w:w="2522" w:type="dxa"/>
                  <w:vAlign w:val="center"/>
                </w:tcPr>
                <w:p w14:paraId="3BA9668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w:t>
                  </w:r>
                </w:p>
              </w:tc>
              <w:tc>
                <w:tcPr>
                  <w:tcW w:w="2484" w:type="dxa"/>
                  <w:vMerge w:val="continue"/>
                  <w:vAlign w:val="center"/>
                </w:tcPr>
                <w:p w14:paraId="31C682F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r>
            <w:tr w14:paraId="3398E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4" w:type="dxa"/>
                  <w:tcBorders>
                    <w:top w:val="single" w:color="auto" w:sz="4" w:space="0"/>
                    <w:bottom w:val="single" w:color="auto" w:sz="4" w:space="0"/>
                  </w:tcBorders>
                  <w:vAlign w:val="center"/>
                </w:tcPr>
                <w:p w14:paraId="247CC50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氮氧化物</w:t>
                  </w:r>
                </w:p>
              </w:tc>
              <w:tc>
                <w:tcPr>
                  <w:tcW w:w="2522" w:type="dxa"/>
                  <w:vAlign w:val="center"/>
                </w:tcPr>
                <w:p w14:paraId="38FCB71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15</w:t>
                  </w:r>
                  <w:r>
                    <w:rPr>
                      <w:rFonts w:hint="default" w:ascii="Times New Roman" w:hAnsi="Times New Roman" w:cs="Times New Roman"/>
                      <w:b w:val="0"/>
                      <w:bCs w:val="0"/>
                      <w:color w:val="auto"/>
                      <w:sz w:val="21"/>
                      <w:szCs w:val="21"/>
                      <w:highlight w:val="none"/>
                      <w:lang w:val="en-US" w:eastAsia="zh-CN"/>
                    </w:rPr>
                    <w:t>0</w:t>
                  </w:r>
                </w:p>
              </w:tc>
              <w:tc>
                <w:tcPr>
                  <w:tcW w:w="2484" w:type="dxa"/>
                  <w:vMerge w:val="continue"/>
                  <w:vAlign w:val="center"/>
                </w:tcPr>
                <w:p w14:paraId="12467F6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r>
            <w:tr w14:paraId="755CB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4" w:type="dxa"/>
                  <w:tcBorders>
                    <w:top w:val="single" w:color="auto" w:sz="4" w:space="0"/>
                  </w:tcBorders>
                  <w:vAlign w:val="center"/>
                </w:tcPr>
                <w:p w14:paraId="28331F6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烟气黑度（林格曼黑度，级）</w:t>
                  </w:r>
                </w:p>
              </w:tc>
              <w:tc>
                <w:tcPr>
                  <w:tcW w:w="2522" w:type="dxa"/>
                  <w:vAlign w:val="center"/>
                </w:tcPr>
                <w:p w14:paraId="37B2546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w:t>
                  </w:r>
                </w:p>
              </w:tc>
              <w:tc>
                <w:tcPr>
                  <w:tcW w:w="2484" w:type="dxa"/>
                  <w:vAlign w:val="center"/>
                </w:tcPr>
                <w:p w14:paraId="56BEC7E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烟囱排气口</w:t>
                  </w:r>
                </w:p>
              </w:tc>
            </w:tr>
          </w:tbl>
          <w:p w14:paraId="6DE3C6CB">
            <w:pPr>
              <w:spacing w:line="360" w:lineRule="auto"/>
              <w:ind w:firstLine="480" w:firstLineChars="200"/>
              <w:jc w:val="left"/>
              <w:rPr>
                <w:rFonts w:hint="default" w:ascii="Times New Roman" w:hAnsi="Times New Roman" w:cs="Times New Roman"/>
                <w:bCs/>
                <w:color w:val="auto"/>
                <w:kern w:val="0"/>
                <w:sz w:val="24"/>
                <w:szCs w:val="24"/>
                <w:highlight w:val="none"/>
              </w:rPr>
            </w:pPr>
            <w:r>
              <w:rPr>
                <w:rFonts w:hint="default" w:ascii="Times New Roman" w:hAnsi="Times New Roman" w:cs="Times New Roman"/>
                <w:bCs/>
                <w:color w:val="auto"/>
                <w:kern w:val="0"/>
                <w:sz w:val="24"/>
                <w:szCs w:val="24"/>
                <w:highlight w:val="none"/>
              </w:rPr>
              <w:t>（</w:t>
            </w:r>
            <w:r>
              <w:rPr>
                <w:rFonts w:hint="eastAsia" w:cs="Times New Roman"/>
                <w:bCs/>
                <w:color w:val="auto"/>
                <w:kern w:val="0"/>
                <w:sz w:val="24"/>
                <w:szCs w:val="24"/>
                <w:highlight w:val="none"/>
                <w:lang w:val="en-US" w:eastAsia="zh-CN"/>
              </w:rPr>
              <w:t>2</w:t>
            </w:r>
            <w:r>
              <w:rPr>
                <w:rFonts w:hint="default" w:ascii="Times New Roman" w:hAnsi="Times New Roman" w:cs="Times New Roman"/>
                <w:bCs/>
                <w:color w:val="auto"/>
                <w:kern w:val="0"/>
                <w:sz w:val="24"/>
                <w:szCs w:val="24"/>
                <w:highlight w:val="none"/>
              </w:rPr>
              <w:t>）生产区颗粒物</w:t>
            </w:r>
          </w:p>
          <w:p w14:paraId="5A81958F">
            <w:pPr>
              <w:spacing w:line="360" w:lineRule="auto"/>
              <w:ind w:firstLine="480" w:firstLineChars="200"/>
              <w:jc w:val="left"/>
              <w:rPr>
                <w:rFonts w:hint="default" w:ascii="Times New Roman" w:hAnsi="Times New Roman" w:cs="Times New Roman"/>
                <w:bCs/>
                <w:color w:val="auto"/>
                <w:kern w:val="0"/>
                <w:sz w:val="24"/>
                <w:szCs w:val="24"/>
                <w:highlight w:val="none"/>
              </w:rPr>
            </w:pPr>
            <w:r>
              <w:rPr>
                <w:rFonts w:hint="default" w:ascii="Times New Roman" w:hAnsi="Times New Roman" w:cs="Times New Roman"/>
                <w:bCs/>
                <w:color w:val="auto"/>
                <w:kern w:val="0"/>
                <w:sz w:val="24"/>
                <w:szCs w:val="24"/>
                <w:highlight w:val="none"/>
              </w:rPr>
              <w:t>本项目生产区颗粒物</w:t>
            </w:r>
            <w:r>
              <w:rPr>
                <w:rFonts w:hint="eastAsia" w:cs="Times New Roman"/>
                <w:bCs/>
                <w:color w:val="auto"/>
                <w:kern w:val="0"/>
                <w:sz w:val="24"/>
                <w:szCs w:val="24"/>
                <w:highlight w:val="none"/>
                <w:lang w:val="en-US" w:eastAsia="zh-CN"/>
              </w:rPr>
              <w:t>以无组织形式排放，</w:t>
            </w:r>
            <w:r>
              <w:rPr>
                <w:rFonts w:hint="default" w:ascii="Times New Roman" w:hAnsi="Times New Roman" w:cs="Times New Roman"/>
                <w:bCs/>
                <w:color w:val="auto"/>
                <w:kern w:val="0"/>
                <w:sz w:val="24"/>
                <w:szCs w:val="24"/>
                <w:highlight w:val="none"/>
              </w:rPr>
              <w:t>执行《大气污染物综合排放标准》（GB16297-1996）表2中的颗粒物</w:t>
            </w:r>
            <w:r>
              <w:rPr>
                <w:rFonts w:hint="eastAsia" w:cs="Times New Roman"/>
                <w:bCs/>
                <w:color w:val="auto"/>
                <w:kern w:val="0"/>
                <w:sz w:val="24"/>
                <w:szCs w:val="24"/>
                <w:highlight w:val="none"/>
                <w:lang w:val="en-US" w:eastAsia="zh-CN"/>
              </w:rPr>
              <w:t>无组织排放监控浓度</w:t>
            </w:r>
            <w:r>
              <w:rPr>
                <w:rFonts w:hint="default" w:ascii="Times New Roman" w:hAnsi="Times New Roman" w:cs="Times New Roman"/>
                <w:bCs/>
                <w:color w:val="auto"/>
                <w:kern w:val="0"/>
                <w:sz w:val="24"/>
                <w:szCs w:val="24"/>
                <w:highlight w:val="none"/>
              </w:rPr>
              <w:t>限值。具体如下表</w:t>
            </w:r>
            <w:r>
              <w:rPr>
                <w:rFonts w:hint="default" w:ascii="Times New Roman" w:hAnsi="Times New Roman" w:cs="Times New Roman"/>
                <w:bCs/>
                <w:color w:val="auto"/>
                <w:kern w:val="0"/>
                <w:sz w:val="24"/>
                <w:szCs w:val="24"/>
                <w:highlight w:val="none"/>
                <w:lang w:val="en-US" w:eastAsia="zh-CN"/>
              </w:rPr>
              <w:t>3-6</w:t>
            </w:r>
            <w:r>
              <w:rPr>
                <w:rFonts w:hint="default" w:ascii="Times New Roman" w:hAnsi="Times New Roman" w:cs="Times New Roman"/>
                <w:bCs/>
                <w:color w:val="auto"/>
                <w:kern w:val="0"/>
                <w:sz w:val="24"/>
                <w:szCs w:val="24"/>
                <w:highlight w:val="none"/>
              </w:rPr>
              <w:t>。</w:t>
            </w:r>
          </w:p>
          <w:p w14:paraId="1B06A1AD">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表3-6   大气污染物综合排放标准</w:t>
            </w:r>
          </w:p>
          <w:tbl>
            <w:tblPr>
              <w:tblStyle w:val="19"/>
              <w:tblW w:w="80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145"/>
              <w:gridCol w:w="2738"/>
            </w:tblGrid>
            <w:tr w14:paraId="5595F7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142" w:type="dxa"/>
                  <w:vMerge w:val="restart"/>
                  <w:tcBorders>
                    <w:top w:val="single" w:color="auto" w:sz="12" w:space="0"/>
                    <w:bottom w:val="single" w:color="auto" w:sz="4" w:space="0"/>
                    <w:right w:val="single" w:color="auto" w:sz="4" w:space="0"/>
                  </w:tcBorders>
                  <w:vAlign w:val="center"/>
                </w:tcPr>
                <w:p w14:paraId="7AE1C0B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w:t>
                  </w:r>
                </w:p>
              </w:tc>
              <w:tc>
                <w:tcPr>
                  <w:tcW w:w="5883" w:type="dxa"/>
                  <w:gridSpan w:val="2"/>
                  <w:tcBorders>
                    <w:top w:val="single" w:color="auto" w:sz="12" w:space="0"/>
                    <w:left w:val="single" w:color="auto" w:sz="4" w:space="0"/>
                    <w:bottom w:val="single" w:color="auto" w:sz="4" w:space="0"/>
                  </w:tcBorders>
                  <w:vAlign w:val="center"/>
                </w:tcPr>
                <w:p w14:paraId="01A21FC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无组织排放监控浓度限值</w:t>
                  </w:r>
                </w:p>
              </w:tc>
            </w:tr>
            <w:tr w14:paraId="3E9AE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42" w:type="dxa"/>
                  <w:vMerge w:val="continue"/>
                  <w:tcBorders>
                    <w:top w:val="single" w:color="auto" w:sz="4" w:space="0"/>
                    <w:bottom w:val="single" w:color="auto" w:sz="12" w:space="0"/>
                    <w:right w:val="single" w:color="auto" w:sz="4" w:space="0"/>
                  </w:tcBorders>
                  <w:vAlign w:val="center"/>
                </w:tcPr>
                <w:p w14:paraId="2517545A">
                  <w:pPr>
                    <w:pStyle w:val="35"/>
                    <w:bidi w:val="0"/>
                    <w:rPr>
                      <w:rFonts w:hint="default" w:ascii="Times New Roman" w:hAnsi="Times New Roman" w:cs="Times New Roman"/>
                      <w:b w:val="0"/>
                      <w:bCs w:val="0"/>
                      <w:color w:val="auto"/>
                      <w:sz w:val="21"/>
                      <w:szCs w:val="21"/>
                      <w:highlight w:val="none"/>
                    </w:rPr>
                  </w:pPr>
                </w:p>
              </w:tc>
              <w:tc>
                <w:tcPr>
                  <w:tcW w:w="3145" w:type="dxa"/>
                  <w:tcBorders>
                    <w:top w:val="single" w:color="auto" w:sz="4" w:space="0"/>
                    <w:left w:val="single" w:color="auto" w:sz="4" w:space="0"/>
                    <w:bottom w:val="single" w:color="auto" w:sz="12" w:space="0"/>
                    <w:right w:val="single" w:color="auto" w:sz="4" w:space="0"/>
                  </w:tcBorders>
                  <w:vAlign w:val="center"/>
                </w:tcPr>
                <w:p w14:paraId="549578D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监控点</w:t>
                  </w:r>
                </w:p>
              </w:tc>
              <w:tc>
                <w:tcPr>
                  <w:tcW w:w="2738" w:type="dxa"/>
                  <w:tcBorders>
                    <w:top w:val="single" w:color="auto" w:sz="4" w:space="0"/>
                    <w:left w:val="single" w:color="auto" w:sz="4" w:space="0"/>
                    <w:bottom w:val="single" w:color="auto" w:sz="12" w:space="0"/>
                  </w:tcBorders>
                  <w:vAlign w:val="center"/>
                </w:tcPr>
                <w:p w14:paraId="70122D0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浓度（mg/m³）</w:t>
                  </w:r>
                </w:p>
              </w:tc>
            </w:tr>
            <w:tr w14:paraId="63AD8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42" w:type="dxa"/>
                  <w:tcBorders>
                    <w:top w:val="single" w:color="auto" w:sz="12" w:space="0"/>
                    <w:bottom w:val="single" w:color="auto" w:sz="12" w:space="0"/>
                    <w:right w:val="single" w:color="auto" w:sz="4" w:space="0"/>
                  </w:tcBorders>
                  <w:vAlign w:val="center"/>
                </w:tcPr>
                <w:p w14:paraId="17F70DF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颗粒物</w:t>
                  </w:r>
                </w:p>
              </w:tc>
              <w:tc>
                <w:tcPr>
                  <w:tcW w:w="3145" w:type="dxa"/>
                  <w:tcBorders>
                    <w:top w:val="single" w:color="auto" w:sz="12" w:space="0"/>
                    <w:left w:val="single" w:color="auto" w:sz="4" w:space="0"/>
                    <w:bottom w:val="single" w:color="auto" w:sz="12" w:space="0"/>
                    <w:right w:val="single" w:color="auto" w:sz="4" w:space="0"/>
                  </w:tcBorders>
                  <w:vAlign w:val="center"/>
                </w:tcPr>
                <w:p w14:paraId="32EC487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周界外浓度最高点</w:t>
                  </w:r>
                </w:p>
              </w:tc>
              <w:tc>
                <w:tcPr>
                  <w:tcW w:w="2738" w:type="dxa"/>
                  <w:tcBorders>
                    <w:top w:val="single" w:color="auto" w:sz="12" w:space="0"/>
                    <w:left w:val="single" w:color="auto" w:sz="4" w:space="0"/>
                    <w:bottom w:val="single" w:color="auto" w:sz="12" w:space="0"/>
                  </w:tcBorders>
                  <w:vAlign w:val="center"/>
                </w:tcPr>
                <w:p w14:paraId="64D3DAC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1.0</w:t>
                  </w:r>
                </w:p>
              </w:tc>
            </w:tr>
          </w:tbl>
          <w:p w14:paraId="178E9052">
            <w:pPr>
              <w:autoSpaceDE w:val="0"/>
              <w:autoSpaceDN w:val="0"/>
              <w:adjustRightInd w:val="0"/>
              <w:spacing w:line="360" w:lineRule="auto"/>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2</w:t>
            </w:r>
            <w:r>
              <w:rPr>
                <w:rFonts w:hint="default" w:ascii="Times New Roman" w:hAnsi="Times New Roman" w:cs="Times New Roman"/>
                <w:b/>
                <w:bCs/>
                <w:color w:val="auto"/>
                <w:kern w:val="0"/>
                <w:sz w:val="24"/>
                <w:highlight w:val="none"/>
                <w:lang w:val="en-US" w:eastAsia="zh-CN"/>
              </w:rPr>
              <w:t>、</w:t>
            </w:r>
            <w:r>
              <w:rPr>
                <w:rFonts w:hint="default" w:ascii="Times New Roman" w:hAnsi="Times New Roman" w:eastAsia="宋体" w:cs="Times New Roman"/>
                <w:b/>
                <w:bCs/>
                <w:color w:val="auto"/>
                <w:kern w:val="0"/>
                <w:sz w:val="24"/>
                <w:highlight w:val="none"/>
                <w:lang w:val="en-US" w:eastAsia="zh-CN"/>
              </w:rPr>
              <w:t>水污染物排放标准</w:t>
            </w:r>
          </w:p>
          <w:p w14:paraId="42B63CC0">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b w:val="0"/>
                <w:bCs w:val="0"/>
                <w:color w:val="auto"/>
                <w:kern w:val="0"/>
                <w:sz w:val="24"/>
                <w:highlight w:val="none"/>
                <w:lang w:val="en-US" w:eastAsia="zh-CN"/>
              </w:rPr>
              <w:t>项目废水排放执行《污水综合排放标准》（GB8978-1996）表4中的三级排放标准。具体如下表3-</w:t>
            </w:r>
            <w:r>
              <w:rPr>
                <w:rFonts w:hint="default" w:ascii="Times New Roman" w:hAnsi="Times New Roman" w:cs="Times New Roman"/>
                <w:b w:val="0"/>
                <w:bCs w:val="0"/>
                <w:color w:val="auto"/>
                <w:kern w:val="0"/>
                <w:sz w:val="24"/>
                <w:highlight w:val="none"/>
                <w:lang w:val="en-US" w:eastAsia="zh-CN"/>
              </w:rPr>
              <w:t>7</w:t>
            </w:r>
            <w:r>
              <w:rPr>
                <w:rFonts w:hint="default" w:ascii="Times New Roman" w:hAnsi="Times New Roman" w:eastAsia="宋体" w:cs="Times New Roman"/>
                <w:b w:val="0"/>
                <w:bCs w:val="0"/>
                <w:color w:val="auto"/>
                <w:kern w:val="0"/>
                <w:sz w:val="24"/>
                <w:highlight w:val="none"/>
                <w:lang w:eastAsia="zh-CN"/>
              </w:rPr>
              <w:t>。</w:t>
            </w:r>
          </w:p>
          <w:p w14:paraId="0CB23CB3">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表3-7    《污水综合排放标准》（GB8978-1996）</w:t>
            </w:r>
          </w:p>
          <w:tbl>
            <w:tblPr>
              <w:tblStyle w:val="19"/>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349"/>
              <w:gridCol w:w="1669"/>
              <w:gridCol w:w="3230"/>
            </w:tblGrid>
            <w:tr w14:paraId="216B8BB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349" w:type="dxa"/>
                  <w:tcBorders>
                    <w:tl2br w:val="nil"/>
                    <w:tr2bl w:val="nil"/>
                  </w:tcBorders>
                  <w:noWrap w:val="0"/>
                  <w:vAlign w:val="center"/>
                </w:tcPr>
                <w:p w14:paraId="454530A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控制项目</w:t>
                  </w:r>
                </w:p>
              </w:tc>
              <w:tc>
                <w:tcPr>
                  <w:tcW w:w="1669" w:type="dxa"/>
                  <w:tcBorders>
                    <w:tl2br w:val="nil"/>
                    <w:tr2bl w:val="nil"/>
                  </w:tcBorders>
                  <w:noWrap w:val="0"/>
                  <w:vAlign w:val="center"/>
                </w:tcPr>
                <w:p w14:paraId="1FFA773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tc>
              <w:tc>
                <w:tcPr>
                  <w:tcW w:w="3230" w:type="dxa"/>
                  <w:tcBorders>
                    <w:tl2br w:val="nil"/>
                    <w:tr2bl w:val="nil"/>
                  </w:tcBorders>
                  <w:noWrap w:val="0"/>
                  <w:vAlign w:val="center"/>
                </w:tcPr>
                <w:p w14:paraId="3F200BB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限值</w:t>
                  </w:r>
                </w:p>
              </w:tc>
            </w:tr>
            <w:tr w14:paraId="58CE3A1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349" w:type="dxa"/>
                  <w:tcBorders>
                    <w:tl2br w:val="nil"/>
                    <w:tr2bl w:val="nil"/>
                  </w:tcBorders>
                  <w:noWrap w:val="0"/>
                  <w:vAlign w:val="center"/>
                </w:tcPr>
                <w:p w14:paraId="4272707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COD</w:t>
                  </w:r>
                </w:p>
              </w:tc>
              <w:tc>
                <w:tcPr>
                  <w:tcW w:w="1669" w:type="dxa"/>
                  <w:tcBorders>
                    <w:tl2br w:val="nil"/>
                    <w:tr2bl w:val="nil"/>
                  </w:tcBorders>
                  <w:noWrap w:val="0"/>
                  <w:vAlign w:val="center"/>
                </w:tcPr>
                <w:p w14:paraId="5B34060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mg/L</w:t>
                  </w:r>
                </w:p>
              </w:tc>
              <w:tc>
                <w:tcPr>
                  <w:tcW w:w="3230" w:type="dxa"/>
                  <w:tcBorders>
                    <w:tl2br w:val="nil"/>
                    <w:tr2bl w:val="nil"/>
                  </w:tcBorders>
                  <w:noWrap w:val="0"/>
                  <w:vAlign w:val="center"/>
                </w:tcPr>
                <w:p w14:paraId="74C7D1D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w:t>
                  </w:r>
                </w:p>
              </w:tc>
            </w:tr>
            <w:tr w14:paraId="0E961D3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349" w:type="dxa"/>
                  <w:tcBorders>
                    <w:tl2br w:val="nil"/>
                    <w:tr2bl w:val="nil"/>
                  </w:tcBorders>
                  <w:noWrap w:val="0"/>
                  <w:vAlign w:val="center"/>
                </w:tcPr>
                <w:p w14:paraId="124BC5F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BOD</w:t>
                  </w:r>
                  <w:r>
                    <w:rPr>
                      <w:rFonts w:hint="default" w:ascii="Times New Roman" w:hAnsi="Times New Roman" w:cs="Times New Roman"/>
                      <w:color w:val="auto"/>
                      <w:szCs w:val="21"/>
                      <w:highlight w:val="none"/>
                      <w:vertAlign w:val="subscript"/>
                    </w:rPr>
                    <w:t>5</w:t>
                  </w:r>
                </w:p>
              </w:tc>
              <w:tc>
                <w:tcPr>
                  <w:tcW w:w="1669" w:type="dxa"/>
                  <w:tcBorders>
                    <w:tl2br w:val="nil"/>
                    <w:tr2bl w:val="nil"/>
                  </w:tcBorders>
                  <w:noWrap w:val="0"/>
                  <w:vAlign w:val="center"/>
                </w:tcPr>
                <w:p w14:paraId="604E140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mg/L</w:t>
                  </w:r>
                </w:p>
              </w:tc>
              <w:tc>
                <w:tcPr>
                  <w:tcW w:w="3230" w:type="dxa"/>
                  <w:tcBorders>
                    <w:tl2br w:val="nil"/>
                    <w:tr2bl w:val="nil"/>
                  </w:tcBorders>
                  <w:noWrap w:val="0"/>
                  <w:vAlign w:val="center"/>
                </w:tcPr>
                <w:p w14:paraId="45FC91A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300</w:t>
                  </w:r>
                </w:p>
              </w:tc>
            </w:tr>
            <w:tr w14:paraId="7246BFD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349" w:type="dxa"/>
                  <w:tcBorders>
                    <w:tl2br w:val="nil"/>
                    <w:tr2bl w:val="nil"/>
                  </w:tcBorders>
                  <w:noWrap w:val="0"/>
                  <w:vAlign w:val="center"/>
                </w:tcPr>
                <w:p w14:paraId="5BC1FFF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氨氮</w:t>
                  </w:r>
                </w:p>
              </w:tc>
              <w:tc>
                <w:tcPr>
                  <w:tcW w:w="1669" w:type="dxa"/>
                  <w:tcBorders>
                    <w:tl2br w:val="nil"/>
                    <w:tr2bl w:val="nil"/>
                  </w:tcBorders>
                  <w:noWrap w:val="0"/>
                  <w:vAlign w:val="center"/>
                </w:tcPr>
                <w:p w14:paraId="434A92A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mg/L</w:t>
                  </w:r>
                </w:p>
              </w:tc>
              <w:tc>
                <w:tcPr>
                  <w:tcW w:w="3230" w:type="dxa"/>
                  <w:tcBorders>
                    <w:tl2br w:val="nil"/>
                    <w:tr2bl w:val="nil"/>
                  </w:tcBorders>
                  <w:noWrap w:val="0"/>
                  <w:vAlign w:val="center"/>
                </w:tcPr>
                <w:p w14:paraId="0B4443D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cr/>
                  </w:r>
                  <w:r>
                    <w:rPr>
                      <w:rFonts w:hint="default" w:ascii="Times New Roman" w:hAnsi="Times New Roman" w:cs="Times New Roman"/>
                      <w:color w:val="auto"/>
                      <w:szCs w:val="21"/>
                      <w:highlight w:val="none"/>
                    </w:rPr>
                    <w:t>/</w:t>
                  </w:r>
                </w:p>
              </w:tc>
            </w:tr>
            <w:tr w14:paraId="46A0DC6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349" w:type="dxa"/>
                  <w:tcBorders>
                    <w:tl2br w:val="nil"/>
                    <w:tr2bl w:val="nil"/>
                  </w:tcBorders>
                  <w:noWrap w:val="0"/>
                  <w:vAlign w:val="center"/>
                </w:tcPr>
                <w:p w14:paraId="100C5C6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SS</w:t>
                  </w:r>
                </w:p>
              </w:tc>
              <w:tc>
                <w:tcPr>
                  <w:tcW w:w="1669" w:type="dxa"/>
                  <w:tcBorders>
                    <w:tl2br w:val="nil"/>
                    <w:tr2bl w:val="nil"/>
                  </w:tcBorders>
                  <w:noWrap w:val="0"/>
                  <w:vAlign w:val="center"/>
                </w:tcPr>
                <w:p w14:paraId="70611D9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mg/L</w:t>
                  </w:r>
                </w:p>
              </w:tc>
              <w:tc>
                <w:tcPr>
                  <w:tcW w:w="3230" w:type="dxa"/>
                  <w:tcBorders>
                    <w:tl2br w:val="nil"/>
                    <w:tr2bl w:val="nil"/>
                  </w:tcBorders>
                  <w:noWrap w:val="0"/>
                  <w:vAlign w:val="center"/>
                </w:tcPr>
                <w:p w14:paraId="3AEF1B3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400</w:t>
                  </w:r>
                </w:p>
              </w:tc>
            </w:tr>
          </w:tbl>
          <w:p w14:paraId="62D89DAA">
            <w:pPr>
              <w:wordWrap w:val="0"/>
              <w:adjustRightInd w:val="0"/>
              <w:snapToGrid w:val="0"/>
              <w:spacing w:line="360" w:lineRule="auto"/>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lang w:val="en-US" w:eastAsia="zh-CN"/>
              </w:rPr>
              <w:t>3、</w:t>
            </w:r>
            <w:r>
              <w:rPr>
                <w:rFonts w:hint="default" w:ascii="Times New Roman" w:hAnsi="Times New Roman" w:cs="Times New Roman"/>
                <w:b/>
                <w:bCs/>
                <w:color w:val="auto"/>
                <w:kern w:val="0"/>
                <w:sz w:val="24"/>
                <w:highlight w:val="none"/>
              </w:rPr>
              <w:t>噪声排放标准</w:t>
            </w:r>
          </w:p>
          <w:p w14:paraId="1188FE1E">
            <w:pPr>
              <w:spacing w:line="360" w:lineRule="auto"/>
              <w:ind w:firstLine="480" w:firstLineChars="200"/>
              <w:jc w:val="left"/>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rPr>
              <w:t>运营期</w:t>
            </w:r>
            <w:r>
              <w:rPr>
                <w:rFonts w:hint="default" w:ascii="Times New Roman" w:hAnsi="Times New Roman" w:eastAsia="宋体" w:cs="Times New Roman"/>
                <w:bCs/>
                <w:color w:val="auto"/>
                <w:kern w:val="0"/>
                <w:sz w:val="24"/>
                <w:szCs w:val="24"/>
                <w:highlight w:val="none"/>
              </w:rPr>
              <w:t>项目区噪声执行《工业企业厂界环境噪声排放标准》（GB12348-2008）中的</w:t>
            </w:r>
            <w:r>
              <w:rPr>
                <w:rFonts w:hint="default" w:ascii="Times New Roman" w:hAnsi="Times New Roman" w:cs="Times New Roman"/>
                <w:bCs/>
                <w:color w:val="auto"/>
                <w:kern w:val="0"/>
                <w:sz w:val="24"/>
                <w:szCs w:val="24"/>
                <w:highlight w:val="none"/>
                <w:lang w:val="en-US" w:eastAsia="zh-CN"/>
              </w:rPr>
              <w:t>2</w:t>
            </w:r>
            <w:r>
              <w:rPr>
                <w:rFonts w:hint="default" w:ascii="Times New Roman" w:hAnsi="Times New Roman" w:eastAsia="宋体" w:cs="Times New Roman"/>
                <w:bCs/>
                <w:color w:val="auto"/>
                <w:kern w:val="0"/>
                <w:sz w:val="24"/>
                <w:szCs w:val="24"/>
                <w:highlight w:val="none"/>
              </w:rPr>
              <w:t>类区标准。</w:t>
            </w:r>
            <w:r>
              <w:rPr>
                <w:rFonts w:hint="default" w:ascii="Times New Roman" w:hAnsi="Times New Roman" w:eastAsia="宋体" w:cs="Times New Roman"/>
                <w:b w:val="0"/>
                <w:bCs w:val="0"/>
                <w:color w:val="auto"/>
                <w:kern w:val="0"/>
                <w:sz w:val="24"/>
                <w:highlight w:val="none"/>
                <w:lang w:val="en-US" w:eastAsia="zh-CN"/>
              </w:rPr>
              <w:t>具体如下表3-</w:t>
            </w:r>
            <w:r>
              <w:rPr>
                <w:rFonts w:hint="eastAsia" w:ascii="Times New Roman" w:hAnsi="Times New Roman" w:cs="Times New Roman"/>
                <w:b w:val="0"/>
                <w:bCs w:val="0"/>
                <w:color w:val="auto"/>
                <w:kern w:val="0"/>
                <w:sz w:val="24"/>
                <w:highlight w:val="none"/>
                <w:lang w:val="en-US" w:eastAsia="zh-CN"/>
              </w:rPr>
              <w:t>8</w:t>
            </w:r>
            <w:r>
              <w:rPr>
                <w:rFonts w:hint="default" w:ascii="Times New Roman" w:hAnsi="Times New Roman" w:eastAsia="宋体" w:cs="Times New Roman"/>
                <w:b w:val="0"/>
                <w:bCs w:val="0"/>
                <w:color w:val="auto"/>
                <w:kern w:val="0"/>
                <w:sz w:val="24"/>
                <w:highlight w:val="none"/>
                <w:lang w:eastAsia="zh-CN"/>
              </w:rPr>
              <w:t>。</w:t>
            </w:r>
          </w:p>
          <w:p w14:paraId="480D76AF">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表3-8   工业企业厂界环境噪声排放限值   单位：dB（A）</w:t>
            </w:r>
          </w:p>
          <w:tbl>
            <w:tblPr>
              <w:tblStyle w:val="20"/>
              <w:tblW w:w="822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2341"/>
              <w:gridCol w:w="2343"/>
            </w:tblGrid>
            <w:tr w14:paraId="4BE9E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36" w:type="dxa"/>
                  <w:vMerge w:val="restart"/>
                  <w:tcBorders>
                    <w:top w:val="single" w:color="auto" w:sz="12" w:space="0"/>
                  </w:tcBorders>
                  <w:noWrap w:val="0"/>
                  <w:vAlign w:val="center"/>
                </w:tcPr>
                <w:p w14:paraId="7AC10F3D">
                  <w:pPr>
                    <w:pStyle w:val="35"/>
                    <w:bidi w:val="0"/>
                    <w:rPr>
                      <w:rFonts w:hint="default" w:ascii="Times New Roman" w:hAnsi="Times New Roman" w:cs="Times New Roman"/>
                      <w:b w:val="0"/>
                      <w:bCs w:val="0"/>
                      <w:color w:val="auto"/>
                      <w:sz w:val="21"/>
                      <w:szCs w:val="21"/>
                      <w:highlight w:val="none"/>
                    </w:rPr>
                  </w:pPr>
                  <w:bookmarkStart w:id="15" w:name="hmcheck_591c4196f4c54d769154b2904be27e71"/>
                  <w:r>
                    <w:rPr>
                      <w:rFonts w:hint="default" w:ascii="Times New Roman" w:hAnsi="Times New Roman" w:cs="Times New Roman"/>
                      <w:b w:val="0"/>
                      <w:bCs w:val="0"/>
                      <w:color w:val="auto"/>
                      <w:sz w:val="21"/>
                      <w:szCs w:val="21"/>
                      <w:highlight w:val="none"/>
                    </w:rPr>
                    <w:t>厂</w:t>
                  </w:r>
                  <w:bookmarkEnd w:id="15"/>
                  <w:r>
                    <w:rPr>
                      <w:rFonts w:hint="default" w:ascii="Times New Roman" w:hAnsi="Times New Roman" w:cs="Times New Roman"/>
                      <w:b w:val="0"/>
                      <w:bCs w:val="0"/>
                      <w:color w:val="auto"/>
                      <w:sz w:val="21"/>
                      <w:szCs w:val="21"/>
                      <w:highlight w:val="none"/>
                    </w:rPr>
                    <w:t>界外声环境功能区类别</w:t>
                  </w:r>
                </w:p>
              </w:tc>
              <w:tc>
                <w:tcPr>
                  <w:tcW w:w="4684" w:type="dxa"/>
                  <w:gridSpan w:val="2"/>
                  <w:tcBorders>
                    <w:top w:val="single" w:color="auto" w:sz="12" w:space="0"/>
                  </w:tcBorders>
                  <w:noWrap w:val="0"/>
                  <w:vAlign w:val="center"/>
                </w:tcPr>
                <w:p w14:paraId="11F234F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时段</w:t>
                  </w:r>
                </w:p>
              </w:tc>
            </w:tr>
            <w:tr w14:paraId="41207F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36" w:type="dxa"/>
                  <w:vMerge w:val="continue"/>
                  <w:tcBorders>
                    <w:bottom w:val="single" w:color="auto" w:sz="12" w:space="0"/>
                  </w:tcBorders>
                  <w:noWrap w:val="0"/>
                  <w:vAlign w:val="center"/>
                </w:tcPr>
                <w:p w14:paraId="77543E84">
                  <w:pPr>
                    <w:pStyle w:val="35"/>
                    <w:bidi w:val="0"/>
                    <w:rPr>
                      <w:rFonts w:hint="default" w:ascii="Times New Roman" w:hAnsi="Times New Roman" w:cs="Times New Roman"/>
                      <w:b w:val="0"/>
                      <w:bCs w:val="0"/>
                      <w:color w:val="auto"/>
                      <w:sz w:val="21"/>
                      <w:szCs w:val="21"/>
                      <w:highlight w:val="none"/>
                    </w:rPr>
                  </w:pPr>
                </w:p>
              </w:tc>
              <w:tc>
                <w:tcPr>
                  <w:tcW w:w="2341" w:type="dxa"/>
                  <w:tcBorders>
                    <w:bottom w:val="single" w:color="auto" w:sz="12" w:space="0"/>
                  </w:tcBorders>
                  <w:noWrap w:val="0"/>
                  <w:vAlign w:val="center"/>
                </w:tcPr>
                <w:p w14:paraId="47F0523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昼间</w:t>
                  </w:r>
                </w:p>
              </w:tc>
              <w:tc>
                <w:tcPr>
                  <w:tcW w:w="2343" w:type="dxa"/>
                  <w:tcBorders>
                    <w:bottom w:val="single" w:color="auto" w:sz="12" w:space="0"/>
                  </w:tcBorders>
                  <w:noWrap w:val="0"/>
                  <w:vAlign w:val="center"/>
                </w:tcPr>
                <w:p w14:paraId="74A2342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夜间</w:t>
                  </w:r>
                </w:p>
              </w:tc>
            </w:tr>
            <w:tr w14:paraId="28A1F9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36" w:type="dxa"/>
                  <w:tcBorders>
                    <w:top w:val="single" w:color="auto" w:sz="12" w:space="0"/>
                    <w:bottom w:val="single" w:color="auto" w:sz="12" w:space="0"/>
                  </w:tcBorders>
                  <w:noWrap w:val="0"/>
                  <w:vAlign w:val="center"/>
                </w:tcPr>
                <w:p w14:paraId="6A75AEFE">
                  <w:pPr>
                    <w:pStyle w:val="35"/>
                    <w:bidi w:val="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2</w:t>
                  </w:r>
                </w:p>
              </w:tc>
              <w:tc>
                <w:tcPr>
                  <w:tcW w:w="2341" w:type="dxa"/>
                  <w:tcBorders>
                    <w:top w:val="single" w:color="auto" w:sz="12" w:space="0"/>
                    <w:bottom w:val="single" w:color="auto" w:sz="12" w:space="0"/>
                  </w:tcBorders>
                  <w:noWrap w:val="0"/>
                  <w:vAlign w:val="center"/>
                </w:tcPr>
                <w:p w14:paraId="367FCFDC">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60</w:t>
                  </w:r>
                </w:p>
              </w:tc>
              <w:tc>
                <w:tcPr>
                  <w:tcW w:w="2343" w:type="dxa"/>
                  <w:tcBorders>
                    <w:top w:val="single" w:color="auto" w:sz="12" w:space="0"/>
                    <w:bottom w:val="single" w:color="auto" w:sz="12" w:space="0"/>
                  </w:tcBorders>
                  <w:noWrap w:val="0"/>
                  <w:vAlign w:val="center"/>
                </w:tcPr>
                <w:p w14:paraId="47410A0C">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w:t>
                  </w:r>
                </w:p>
              </w:tc>
            </w:tr>
          </w:tbl>
          <w:p w14:paraId="2F9EE7C4">
            <w:pPr>
              <w:pStyle w:val="27"/>
              <w:rPr>
                <w:rFonts w:hint="default" w:ascii="Times New Roman" w:hAnsi="Times New Roman" w:cs="Times New Roman"/>
                <w:color w:val="auto"/>
                <w:sz w:val="24"/>
                <w:szCs w:val="24"/>
                <w:highlight w:val="none"/>
              </w:rPr>
            </w:pPr>
          </w:p>
          <w:p w14:paraId="344CE267">
            <w:pPr>
              <w:wordWrap w:val="0"/>
              <w:adjustRightInd w:val="0"/>
              <w:snapToGrid w:val="0"/>
              <w:spacing w:line="360" w:lineRule="auto"/>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lang w:val="en-US" w:eastAsia="zh-CN"/>
              </w:rPr>
              <w:t>4、</w:t>
            </w:r>
            <w:r>
              <w:rPr>
                <w:rFonts w:hint="default" w:ascii="Times New Roman" w:hAnsi="Times New Roman" w:cs="Times New Roman"/>
                <w:b/>
                <w:bCs/>
                <w:color w:val="auto"/>
                <w:kern w:val="0"/>
                <w:sz w:val="24"/>
                <w:highlight w:val="none"/>
              </w:rPr>
              <w:t>固体废物控制标准</w:t>
            </w:r>
          </w:p>
          <w:p w14:paraId="00C169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（1）一般固体废物执行《一般工业固体废物贮存和填埋污染控制标准》（GB 18599-2020）的相关标准；</w:t>
            </w:r>
          </w:p>
          <w:p w14:paraId="6987F7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（2）生活垃圾执行《中华人民共和国固体废物污染环境防治法》（2020年修订）的生活垃圾分类处置要求及《生活垃圾填埋场污染控制标准》（GB16889-2024）中生活垃圾入场要求。</w:t>
            </w:r>
          </w:p>
          <w:p w14:paraId="63B492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（3）危险废物执行《危险废物贮存污染控制标准》（GB18597-2023），危险废物的收集、暂存、运输执行《危险废物收集 贮存 运输技术规范》（HJ2025-2012），危险废物的转移依照《危险废物转移管理办法》执行。</w:t>
            </w:r>
          </w:p>
        </w:tc>
      </w:tr>
      <w:tr w14:paraId="50584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98" w:type="dxa"/>
            <w:noWrap w:val="0"/>
            <w:vAlign w:val="center"/>
          </w:tcPr>
          <w:p w14:paraId="3223C9E3">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总量</w:t>
            </w:r>
          </w:p>
          <w:p w14:paraId="2451EDC1">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控制</w:t>
            </w:r>
          </w:p>
          <w:p w14:paraId="40ED2A3C">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指标</w:t>
            </w:r>
          </w:p>
        </w:tc>
        <w:tc>
          <w:tcPr>
            <w:tcW w:w="8363" w:type="dxa"/>
            <w:noWrap w:val="0"/>
            <w:vAlign w:val="center"/>
          </w:tcPr>
          <w:p w14:paraId="72DDDE49">
            <w:pPr>
              <w:shd w:val="clear" w:color="auto" w:fill="auto"/>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根据国家规定的总量控制污染物种类，结合本项目的排污特点、所在区域的环境质量现状等因素综合考虑，本项目污染物为</w:t>
            </w:r>
            <w:r>
              <w:rPr>
                <w:rFonts w:hint="default" w:ascii="Times New Roman" w:hAnsi="Times New Roman" w:cs="Times New Roman"/>
                <w:color w:val="auto"/>
                <w:sz w:val="24"/>
                <w:highlight w:val="none"/>
                <w:lang w:eastAsia="zh-CN"/>
              </w:rPr>
              <w:t>二氧化硫和氮氧化物</w:t>
            </w:r>
            <w:r>
              <w:rPr>
                <w:rFonts w:hint="default" w:ascii="Times New Roman" w:hAnsi="Times New Roman" w:cs="Times New Roman"/>
                <w:color w:val="auto"/>
                <w:sz w:val="24"/>
                <w:highlight w:val="none"/>
              </w:rPr>
              <w:t>，将</w:t>
            </w:r>
            <w:r>
              <w:rPr>
                <w:rFonts w:hint="default" w:ascii="Times New Roman" w:hAnsi="Times New Roman" w:cs="Times New Roman"/>
                <w:color w:val="auto"/>
                <w:sz w:val="24"/>
                <w:highlight w:val="none"/>
                <w:lang w:eastAsia="zh-CN"/>
              </w:rPr>
              <w:t>二氧化硫和氮氧化物</w:t>
            </w:r>
            <w:r>
              <w:rPr>
                <w:rFonts w:hint="default" w:ascii="Times New Roman" w:hAnsi="Times New Roman" w:cs="Times New Roman"/>
                <w:color w:val="auto"/>
                <w:sz w:val="24"/>
                <w:highlight w:val="none"/>
              </w:rPr>
              <w:t>设为本项目总量控制指标</w:t>
            </w:r>
            <w:r>
              <w:rPr>
                <w:rFonts w:hint="default" w:ascii="Times New Roman" w:hAnsi="Times New Roman" w:cs="Times New Roman"/>
                <w:color w:val="auto"/>
                <w:sz w:val="24"/>
                <w:highlight w:val="none"/>
                <w:lang w:eastAsia="zh-CN"/>
              </w:rPr>
              <w:t>。</w:t>
            </w:r>
          </w:p>
          <w:p w14:paraId="260227E2">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lang w:eastAsia="zh-CN"/>
              </w:rPr>
              <w:t>经分析，</w:t>
            </w:r>
            <w:r>
              <w:rPr>
                <w:rFonts w:hint="default" w:ascii="Times New Roman" w:hAnsi="Times New Roman" w:cs="Times New Roman"/>
                <w:color w:val="auto"/>
                <w:sz w:val="24"/>
                <w:highlight w:val="none"/>
                <w:lang w:val="en-US" w:eastAsia="zh-CN"/>
              </w:rPr>
              <w:t>本项目二氧化硫</w:t>
            </w:r>
            <w:r>
              <w:rPr>
                <w:rFonts w:hint="default" w:ascii="Times New Roman" w:hAnsi="Times New Roman" w:cs="Times New Roman"/>
                <w:color w:val="auto"/>
                <w:sz w:val="24"/>
                <w:highlight w:val="none"/>
                <w:lang w:eastAsia="zh-CN"/>
              </w:rPr>
              <w:t>排放量为</w:t>
            </w:r>
            <w:r>
              <w:rPr>
                <w:rFonts w:hint="eastAsia" w:cs="Times New Roman"/>
                <w:color w:val="auto"/>
                <w:sz w:val="24"/>
                <w:highlight w:val="none"/>
                <w:lang w:val="en-US" w:eastAsia="zh-CN"/>
              </w:rPr>
              <w:t>0.408</w:t>
            </w:r>
            <w:r>
              <w:rPr>
                <w:rFonts w:hint="default" w:ascii="Times New Roman" w:hAnsi="Times New Roman" w:cs="Times New Roman"/>
                <w:color w:val="auto"/>
                <w:sz w:val="24"/>
                <w:highlight w:val="none"/>
                <w:lang w:val="en-US" w:eastAsia="zh-CN"/>
              </w:rPr>
              <w:t>吨/年，氮氧化物</w:t>
            </w:r>
            <w:r>
              <w:rPr>
                <w:rFonts w:hint="default" w:ascii="Times New Roman" w:hAnsi="Times New Roman" w:cs="Times New Roman"/>
                <w:color w:val="auto"/>
                <w:sz w:val="24"/>
                <w:highlight w:val="none"/>
                <w:lang w:eastAsia="zh-CN"/>
              </w:rPr>
              <w:t>排放量为</w:t>
            </w:r>
            <w:r>
              <w:rPr>
                <w:rFonts w:hint="eastAsia" w:cs="Times New Roman"/>
                <w:color w:val="auto"/>
                <w:sz w:val="24"/>
                <w:highlight w:val="none"/>
                <w:lang w:val="en-US" w:eastAsia="zh-CN"/>
              </w:rPr>
              <w:t>2.856</w:t>
            </w:r>
            <w:r>
              <w:rPr>
                <w:rFonts w:hint="default" w:ascii="Times New Roman" w:hAnsi="Times New Roman" w:cs="Times New Roman"/>
                <w:color w:val="auto"/>
                <w:sz w:val="24"/>
                <w:highlight w:val="none"/>
                <w:lang w:val="en-US" w:eastAsia="zh-CN"/>
              </w:rPr>
              <w:t>吨/年，</w:t>
            </w:r>
            <w:r>
              <w:rPr>
                <w:rFonts w:hint="default" w:ascii="Times New Roman" w:hAnsi="Times New Roman" w:eastAsia="宋体" w:cs="Times New Roman"/>
                <w:color w:val="auto"/>
                <w:sz w:val="24"/>
                <w:highlight w:val="none"/>
              </w:rPr>
              <w:t>具体来源由当地生态环境局以区域削减或排污权交易方式获得</w:t>
            </w:r>
            <w:r>
              <w:rPr>
                <w:rFonts w:hint="default" w:ascii="Times New Roman" w:hAnsi="Times New Roman" w:eastAsia="宋体" w:cs="Times New Roman"/>
                <w:color w:val="auto"/>
                <w:sz w:val="24"/>
                <w:highlight w:val="none"/>
                <w:lang w:val="en-US" w:eastAsia="zh-CN"/>
              </w:rPr>
              <w:t>。</w:t>
            </w:r>
          </w:p>
        </w:tc>
      </w:tr>
    </w:tbl>
    <w:p w14:paraId="2191A0BA">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C3EA347">
      <w:pPr>
        <w:pStyle w:val="18"/>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四、主要环境影响和保护措施</w:t>
      </w:r>
    </w:p>
    <w:tbl>
      <w:tblPr>
        <w:tblStyle w:val="1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390"/>
      </w:tblGrid>
      <w:tr w14:paraId="30285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91" w:type="dxa"/>
            <w:noWrap w:val="0"/>
            <w:tcMar>
              <w:left w:w="28" w:type="dxa"/>
              <w:right w:w="28" w:type="dxa"/>
            </w:tcMar>
            <w:vAlign w:val="center"/>
          </w:tcPr>
          <w:p w14:paraId="6F9533E9">
            <w:pPr>
              <w:pStyle w:val="18"/>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施工</w:t>
            </w:r>
          </w:p>
          <w:p w14:paraId="2BE6A702">
            <w:pPr>
              <w:pStyle w:val="18"/>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期环</w:t>
            </w:r>
          </w:p>
          <w:p w14:paraId="2E1D03A4">
            <w:pPr>
              <w:pStyle w:val="18"/>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境保</w:t>
            </w:r>
          </w:p>
          <w:p w14:paraId="18F16DC8">
            <w:pPr>
              <w:pStyle w:val="18"/>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护措</w:t>
            </w:r>
          </w:p>
          <w:p w14:paraId="27FBBB58">
            <w:pPr>
              <w:pStyle w:val="18"/>
              <w:adjustRightInd w:val="0"/>
              <w:snapToGrid w:val="0"/>
              <w:spacing w:before="0" w:beforeAutospacing="0" w:after="0" w:afterAutospacing="0"/>
              <w:jc w:val="center"/>
              <w:rPr>
                <w:rFonts w:hint="default" w:ascii="Times New Roman" w:hAnsi="Times New Roman" w:cs="Times New Roman"/>
                <w:bCs/>
                <w:color w:val="auto"/>
                <w:kern w:val="2"/>
                <w:sz w:val="24"/>
                <w:szCs w:val="24"/>
                <w:highlight w:val="none"/>
              </w:rPr>
            </w:pPr>
            <w:r>
              <w:rPr>
                <w:rFonts w:hint="default" w:ascii="Times New Roman" w:hAnsi="Times New Roman" w:cs="Times New Roman"/>
                <w:color w:val="auto"/>
                <w:kern w:val="2"/>
                <w:sz w:val="24"/>
                <w:szCs w:val="24"/>
                <w:highlight w:val="none"/>
              </w:rPr>
              <w:t>施</w:t>
            </w:r>
          </w:p>
        </w:tc>
        <w:tc>
          <w:tcPr>
            <w:tcW w:w="8390" w:type="dxa"/>
            <w:noWrap w:val="0"/>
            <w:vAlign w:val="center"/>
          </w:tcPr>
          <w:p w14:paraId="0145967E">
            <w:pPr>
              <w:autoSpaceDE w:val="0"/>
              <w:autoSpaceDN w:val="0"/>
              <w:adjustRightInd w:val="0"/>
              <w:spacing w:line="360"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highlight w:val="none"/>
              </w:rPr>
              <w:t>根据现场勘查，</w:t>
            </w:r>
            <w:r>
              <w:rPr>
                <w:rFonts w:hint="default" w:ascii="Times New Roman" w:hAnsi="Times New Roman" w:cs="Times New Roman"/>
                <w:color w:val="auto"/>
                <w:sz w:val="24"/>
                <w:highlight w:val="none"/>
                <w:lang w:val="en-US" w:eastAsia="zh-CN"/>
              </w:rPr>
              <w:t>本项目主体工程及配套设施已建成，施工前已结束，</w:t>
            </w:r>
            <w:r>
              <w:rPr>
                <w:rFonts w:hint="default" w:ascii="Times New Roman" w:hAnsi="Times New Roman" w:cs="Times New Roman"/>
                <w:color w:val="auto"/>
                <w:sz w:val="24"/>
                <w:highlight w:val="none"/>
              </w:rPr>
              <w:t>故本次环评不对施工期进行详细分析</w:t>
            </w:r>
            <w:r>
              <w:rPr>
                <w:rFonts w:hint="default" w:ascii="Times New Roman" w:hAnsi="Times New Roman" w:cs="Times New Roman"/>
                <w:color w:val="auto"/>
                <w:kern w:val="0"/>
                <w:sz w:val="24"/>
                <w:highlight w:val="none"/>
                <w:lang w:val="en-US" w:eastAsia="zh-CN"/>
              </w:rPr>
              <w:t>。</w:t>
            </w:r>
          </w:p>
        </w:tc>
      </w:tr>
      <w:tr w14:paraId="21A88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91" w:type="dxa"/>
            <w:noWrap w:val="0"/>
            <w:tcMar>
              <w:left w:w="28" w:type="dxa"/>
              <w:right w:w="28" w:type="dxa"/>
            </w:tcMar>
            <w:vAlign w:val="center"/>
          </w:tcPr>
          <w:p w14:paraId="4078720D">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运营</w:t>
            </w:r>
          </w:p>
          <w:p w14:paraId="0301699B">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期环</w:t>
            </w:r>
          </w:p>
          <w:p w14:paraId="34167D2D">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境影</w:t>
            </w:r>
          </w:p>
          <w:p w14:paraId="34520158">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响和</w:t>
            </w:r>
          </w:p>
          <w:p w14:paraId="4E633949">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保护</w:t>
            </w:r>
          </w:p>
          <w:p w14:paraId="08B45E3F">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 w:val="24"/>
                <w:szCs w:val="24"/>
                <w:highlight w:val="none"/>
              </w:rPr>
              <w:t>措施</w:t>
            </w:r>
          </w:p>
        </w:tc>
        <w:tc>
          <w:tcPr>
            <w:tcW w:w="8390" w:type="dxa"/>
            <w:noWrap w:val="0"/>
            <w:vAlign w:val="top"/>
          </w:tcPr>
          <w:p w14:paraId="2512F4A7">
            <w:pPr>
              <w:bidi w:val="0"/>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运营期大气环境影响和保护措施</w:t>
            </w:r>
          </w:p>
          <w:p w14:paraId="0239F362">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1.1 大气污染源</w:t>
            </w:r>
          </w:p>
          <w:p w14:paraId="6AD70B9A">
            <w:pP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szCs w:val="24"/>
                <w:highlight w:val="none"/>
              </w:rPr>
              <w:t>项目产生的大气污染物主要是热风炉</w:t>
            </w:r>
            <w:r>
              <w:rPr>
                <w:rFonts w:hint="default" w:ascii="Times New Roman" w:hAnsi="Times New Roman" w:cs="Times New Roman"/>
                <w:color w:val="auto"/>
                <w:sz w:val="24"/>
                <w:szCs w:val="24"/>
                <w:highlight w:val="none"/>
                <w:lang w:val="en-US" w:eastAsia="zh-CN"/>
              </w:rPr>
              <w:t>产生的燃烧</w:t>
            </w:r>
            <w:r>
              <w:rPr>
                <w:rFonts w:hint="default" w:ascii="Times New Roman" w:hAnsi="Times New Roman" w:cs="Times New Roman"/>
                <w:color w:val="auto"/>
                <w:sz w:val="24"/>
                <w:szCs w:val="24"/>
                <w:highlight w:val="none"/>
              </w:rPr>
              <w:t>废气、</w:t>
            </w:r>
            <w:bookmarkStart w:id="16" w:name="hmcheck_32d09e0359dd497a85d7cc24f89b6ae7"/>
            <w:r>
              <w:rPr>
                <w:rFonts w:hint="default" w:ascii="Times New Roman" w:hAnsi="Times New Roman" w:cs="Times New Roman"/>
                <w:color w:val="auto"/>
                <w:sz w:val="24"/>
                <w:szCs w:val="24"/>
                <w:highlight w:val="none"/>
              </w:rPr>
              <w:t>湿</w:t>
            </w:r>
            <w:bookmarkEnd w:id="16"/>
            <w:r>
              <w:rPr>
                <w:rFonts w:hint="default" w:ascii="Times New Roman" w:hAnsi="Times New Roman" w:cs="Times New Roman"/>
                <w:color w:val="auto"/>
                <w:sz w:val="24"/>
                <w:szCs w:val="24"/>
                <w:highlight w:val="none"/>
              </w:rPr>
              <w:t>料筛选废气和烘干塔内烘干过程产生的废气以及干料筛选废气。</w:t>
            </w:r>
          </w:p>
          <w:p w14:paraId="7402C03A">
            <w:pPr>
              <w:bidi w:val="0"/>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1.1.1生物质燃烧</w:t>
            </w:r>
            <w:r>
              <w:rPr>
                <w:rFonts w:hint="default" w:ascii="Times New Roman" w:hAnsi="Times New Roman" w:cs="Times New Roman"/>
                <w:b/>
                <w:bCs/>
                <w:color w:val="auto"/>
                <w:sz w:val="24"/>
                <w:szCs w:val="24"/>
                <w:highlight w:val="none"/>
              </w:rPr>
              <w:t>废气</w:t>
            </w:r>
          </w:p>
          <w:p w14:paraId="6573EE7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本项目热风炉为链条式层燃炉，选用</w:t>
            </w:r>
            <w:r>
              <w:rPr>
                <w:rFonts w:hint="default" w:ascii="Times New Roman" w:hAnsi="Times New Roman" w:cs="Times New Roman"/>
                <w:color w:val="auto"/>
                <w:sz w:val="24"/>
                <w:szCs w:val="24"/>
                <w:highlight w:val="none"/>
                <w:lang w:val="en-US" w:eastAsia="zh-CN"/>
              </w:rPr>
              <w:t>生物质作为燃料</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根据生态环境部发布的《排放源统计调查</w:t>
            </w:r>
            <w:bookmarkStart w:id="17" w:name="hmcheck_ae57b71de8d148b6ad3a15f8ce7d172a"/>
            <w:r>
              <w:rPr>
                <w:rFonts w:hint="default" w:ascii="Times New Roman" w:hAnsi="Times New Roman" w:cs="Times New Roman"/>
                <w:color w:val="auto"/>
                <w:sz w:val="24"/>
                <w:szCs w:val="24"/>
                <w:highlight w:val="none"/>
                <w:lang w:val="en-US" w:eastAsia="zh-CN"/>
              </w:rPr>
              <w:t>产</w:t>
            </w:r>
            <w:bookmarkEnd w:id="17"/>
            <w:r>
              <w:rPr>
                <w:rFonts w:hint="default" w:ascii="Times New Roman" w:hAnsi="Times New Roman" w:cs="Times New Roman"/>
                <w:color w:val="auto"/>
                <w:sz w:val="24"/>
                <w:szCs w:val="24"/>
                <w:highlight w:val="none"/>
                <w:lang w:val="en-US" w:eastAsia="zh-CN"/>
              </w:rPr>
              <w:t>排污核算方法和系数手册》中的《锅炉产排污量核算系数手册》对应的4430工业锅炉（热力生产和供应行业）</w:t>
            </w:r>
            <w:bookmarkStart w:id="18" w:name="hmcheck_2f8dcc0dda27492ea081dc2521ff3271"/>
            <w:r>
              <w:rPr>
                <w:rFonts w:hint="default" w:ascii="Times New Roman" w:hAnsi="Times New Roman" w:cs="Times New Roman"/>
                <w:color w:val="auto"/>
                <w:sz w:val="24"/>
                <w:szCs w:val="24"/>
                <w:highlight w:val="none"/>
              </w:rPr>
              <w:t>产</w:t>
            </w:r>
            <w:bookmarkEnd w:id="18"/>
            <w:r>
              <w:rPr>
                <w:rFonts w:hint="default" w:ascii="Times New Roman" w:hAnsi="Times New Roman" w:cs="Times New Roman"/>
                <w:color w:val="auto"/>
                <w:sz w:val="24"/>
                <w:szCs w:val="24"/>
                <w:highlight w:val="none"/>
              </w:rPr>
              <w:t>排污系数表</w:t>
            </w:r>
            <w:bookmarkStart w:id="19" w:name="hmcheck_9c0eb64934cc435d916db710e74b2a92"/>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生</w:t>
            </w:r>
            <w:bookmarkEnd w:id="19"/>
            <w:r>
              <w:rPr>
                <w:rFonts w:hint="default" w:ascii="Times New Roman" w:hAnsi="Times New Roman" w:cs="Times New Roman"/>
                <w:color w:val="auto"/>
                <w:sz w:val="24"/>
                <w:szCs w:val="24"/>
                <w:highlight w:val="none"/>
                <w:lang w:val="en-US" w:eastAsia="zh-CN"/>
              </w:rPr>
              <w:t>物质</w:t>
            </w:r>
            <w:r>
              <w:rPr>
                <w:rFonts w:hint="default" w:ascii="Times New Roman" w:hAnsi="Times New Roman" w:cs="Times New Roman"/>
                <w:color w:val="auto"/>
                <w:sz w:val="24"/>
                <w:szCs w:val="24"/>
                <w:highlight w:val="none"/>
              </w:rPr>
              <w:t>工业锅炉的</w:t>
            </w:r>
            <w:r>
              <w:rPr>
                <w:rFonts w:hint="default" w:ascii="Times New Roman" w:hAnsi="Times New Roman" w:cs="Times New Roman"/>
                <w:color w:val="auto"/>
                <w:sz w:val="24"/>
                <w:szCs w:val="24"/>
                <w:highlight w:val="none"/>
                <w:lang w:val="en-US" w:eastAsia="zh-CN"/>
              </w:rPr>
              <w:t>产</w:t>
            </w:r>
            <w:r>
              <w:rPr>
                <w:rFonts w:hint="default" w:ascii="Times New Roman" w:hAnsi="Times New Roman" w:cs="Times New Roman"/>
                <w:color w:val="auto"/>
                <w:sz w:val="24"/>
                <w:szCs w:val="24"/>
                <w:highlight w:val="none"/>
              </w:rPr>
              <w:t>污系数，具体如下表。</w:t>
            </w:r>
          </w:p>
          <w:p w14:paraId="52D19387">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表4-1   生物质工业锅炉产污系数一览表</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043"/>
              <w:gridCol w:w="2043"/>
              <w:gridCol w:w="2043"/>
            </w:tblGrid>
            <w:tr w14:paraId="106944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12" w:space="0"/>
                    <w:bottom w:val="single" w:color="auto" w:sz="12" w:space="0"/>
                    <w:right w:val="single" w:color="auto" w:sz="4" w:space="0"/>
                  </w:tcBorders>
                  <w:vAlign w:val="center"/>
                </w:tcPr>
                <w:p w14:paraId="68E2CAC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烟尘</w:t>
                  </w:r>
                </w:p>
              </w:tc>
              <w:tc>
                <w:tcPr>
                  <w:tcW w:w="1250" w:type="pct"/>
                  <w:tcBorders>
                    <w:top w:val="single" w:color="auto" w:sz="12" w:space="0"/>
                    <w:left w:val="single" w:color="auto" w:sz="4" w:space="0"/>
                    <w:bottom w:val="single" w:color="auto" w:sz="12" w:space="0"/>
                    <w:right w:val="single" w:color="auto" w:sz="4" w:space="0"/>
                  </w:tcBorders>
                  <w:vAlign w:val="center"/>
                </w:tcPr>
                <w:p w14:paraId="7A9E856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二氧化硫</w:t>
                  </w:r>
                </w:p>
              </w:tc>
              <w:tc>
                <w:tcPr>
                  <w:tcW w:w="1250" w:type="pct"/>
                  <w:tcBorders>
                    <w:top w:val="single" w:color="auto" w:sz="12" w:space="0"/>
                    <w:left w:val="single" w:color="auto" w:sz="4" w:space="0"/>
                    <w:bottom w:val="single" w:color="auto" w:sz="12" w:space="0"/>
                  </w:tcBorders>
                  <w:vAlign w:val="center"/>
                </w:tcPr>
                <w:p w14:paraId="2EA1D26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氮氧化物</w:t>
                  </w:r>
                </w:p>
              </w:tc>
              <w:tc>
                <w:tcPr>
                  <w:tcW w:w="1250" w:type="pct"/>
                  <w:tcBorders>
                    <w:top w:val="single" w:color="auto" w:sz="12" w:space="0"/>
                    <w:left w:val="single" w:color="auto" w:sz="4" w:space="0"/>
                    <w:bottom w:val="single" w:color="auto" w:sz="12" w:space="0"/>
                  </w:tcBorders>
                  <w:shd w:val="clear" w:color="auto" w:fill="auto"/>
                  <w:vAlign w:val="center"/>
                </w:tcPr>
                <w:p w14:paraId="31E16D3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烟气量</w:t>
                  </w:r>
                </w:p>
              </w:tc>
            </w:tr>
            <w:tr w14:paraId="7778D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12" w:space="0"/>
                    <w:bottom w:val="single" w:color="auto" w:sz="4" w:space="0"/>
                    <w:right w:val="single" w:color="auto" w:sz="4" w:space="0"/>
                  </w:tcBorders>
                  <w:vAlign w:val="center"/>
                </w:tcPr>
                <w:p w14:paraId="1DB02C8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0.5</w:t>
                  </w:r>
                  <w:r>
                    <w:rPr>
                      <w:rFonts w:hint="default" w:ascii="Times New Roman" w:hAnsi="Times New Roman" w:cs="Times New Roman"/>
                      <w:b w:val="0"/>
                      <w:bCs w:val="0"/>
                      <w:color w:val="auto"/>
                      <w:sz w:val="21"/>
                      <w:szCs w:val="21"/>
                      <w:highlight w:val="none"/>
                    </w:rPr>
                    <w:t>kg/t（原料）</w:t>
                  </w:r>
                </w:p>
              </w:tc>
              <w:tc>
                <w:tcPr>
                  <w:tcW w:w="1250" w:type="pct"/>
                  <w:tcBorders>
                    <w:top w:val="single" w:color="auto" w:sz="12" w:space="0"/>
                    <w:left w:val="single" w:color="auto" w:sz="4" w:space="0"/>
                    <w:bottom w:val="single" w:color="auto" w:sz="4" w:space="0"/>
                    <w:right w:val="single" w:color="auto" w:sz="4" w:space="0"/>
                  </w:tcBorders>
                  <w:vAlign w:val="center"/>
                </w:tcPr>
                <w:p w14:paraId="119A4EE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17</w:t>
                  </w:r>
                  <w:bookmarkStart w:id="20" w:name="hmcheck_d52713a023f948a0b93e0f5c38503b76"/>
                  <w:r>
                    <w:rPr>
                      <w:rFonts w:hint="default" w:ascii="Times New Roman" w:hAnsi="Times New Roman" w:cs="Times New Roman"/>
                      <w:b w:val="0"/>
                      <w:bCs w:val="0"/>
                      <w:color w:val="auto"/>
                      <w:sz w:val="21"/>
                      <w:szCs w:val="21"/>
                      <w:highlight w:val="none"/>
                      <w:lang w:val="en-US" w:eastAsia="zh-CN"/>
                    </w:rPr>
                    <w:t>S</w:t>
                  </w:r>
                  <w:r>
                    <w:rPr>
                      <w:rFonts w:hint="default" w:ascii="Times New Roman" w:hAnsi="Times New Roman" w:cs="Times New Roman"/>
                      <w:b w:val="0"/>
                      <w:bCs w:val="0"/>
                      <w:color w:val="auto"/>
                      <w:sz w:val="21"/>
                      <w:szCs w:val="21"/>
                      <w:highlight w:val="none"/>
                    </w:rPr>
                    <w:t>kg</w:t>
                  </w:r>
                  <w:bookmarkEnd w:id="20"/>
                  <w:r>
                    <w:rPr>
                      <w:rFonts w:hint="default" w:ascii="Times New Roman" w:hAnsi="Times New Roman" w:cs="Times New Roman"/>
                      <w:b w:val="0"/>
                      <w:bCs w:val="0"/>
                      <w:color w:val="auto"/>
                      <w:sz w:val="21"/>
                      <w:szCs w:val="21"/>
                      <w:highlight w:val="none"/>
                    </w:rPr>
                    <w:t>/t（原料）</w:t>
                  </w:r>
                </w:p>
              </w:tc>
              <w:tc>
                <w:tcPr>
                  <w:tcW w:w="1250" w:type="pct"/>
                  <w:tcBorders>
                    <w:top w:val="single" w:color="auto" w:sz="12" w:space="0"/>
                    <w:left w:val="single" w:color="auto" w:sz="4" w:space="0"/>
                    <w:bottom w:val="single" w:color="auto" w:sz="4" w:space="0"/>
                  </w:tcBorders>
                  <w:vAlign w:val="center"/>
                </w:tcPr>
                <w:p w14:paraId="357AFEA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1.02</w:t>
                  </w:r>
                  <w:r>
                    <w:rPr>
                      <w:rFonts w:hint="default" w:ascii="Times New Roman" w:hAnsi="Times New Roman" w:cs="Times New Roman"/>
                      <w:b w:val="0"/>
                      <w:bCs w:val="0"/>
                      <w:color w:val="auto"/>
                      <w:sz w:val="21"/>
                      <w:szCs w:val="21"/>
                      <w:highlight w:val="none"/>
                    </w:rPr>
                    <w:t>kg/t（原料）</w:t>
                  </w:r>
                </w:p>
              </w:tc>
              <w:tc>
                <w:tcPr>
                  <w:tcW w:w="1250" w:type="pct"/>
                  <w:tcBorders>
                    <w:top w:val="single" w:color="auto" w:sz="12" w:space="0"/>
                    <w:left w:val="single" w:color="auto" w:sz="4" w:space="0"/>
                    <w:bottom w:val="single" w:color="auto" w:sz="4" w:space="0"/>
                  </w:tcBorders>
                  <w:shd w:val="clear" w:color="auto" w:fill="auto"/>
                  <w:vAlign w:val="center"/>
                </w:tcPr>
                <w:p w14:paraId="449C1D7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6240</w:t>
                  </w:r>
                  <w:r>
                    <w:rPr>
                      <w:rFonts w:hint="default" w:ascii="Times New Roman" w:hAnsi="Times New Roman" w:eastAsia="宋体" w:cs="Times New Roman"/>
                      <w:b w:val="0"/>
                      <w:bCs w:val="0"/>
                      <w:color w:val="auto"/>
                      <w:sz w:val="21"/>
                      <w:szCs w:val="21"/>
                      <w:highlight w:val="none"/>
                      <w:lang w:val="en-US" w:eastAsia="zh-CN"/>
                    </w:rPr>
                    <w:t>m</w:t>
                  </w:r>
                  <w:r>
                    <w:rPr>
                      <w:rFonts w:hint="eastAsia"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/t</w:t>
                  </w:r>
                  <w:r>
                    <w:rPr>
                      <w:rFonts w:hint="eastAsia" w:ascii="Times New Roman" w:hAnsi="Times New Roman" w:eastAsia="宋体" w:cs="Times New Roman"/>
                      <w:b w:val="0"/>
                      <w:bCs w:val="0"/>
                      <w:color w:val="auto"/>
                      <w:sz w:val="21"/>
                      <w:szCs w:val="21"/>
                      <w:highlight w:val="none"/>
                      <w:lang w:val="en-US" w:eastAsia="zh-CN"/>
                    </w:rPr>
                    <w:t>（原料）</w:t>
                  </w:r>
                </w:p>
              </w:tc>
            </w:tr>
            <w:tr w14:paraId="40E6A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bottom w:val="single" w:color="auto" w:sz="12" w:space="0"/>
                  </w:tcBorders>
                  <w:vAlign w:val="center"/>
                </w:tcPr>
                <w:p w14:paraId="7615868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both"/>
                    <w:textAlignment w:val="auto"/>
                    <w:rPr>
                      <w:rFonts w:hint="default" w:ascii="Times New Roman" w:hAnsi="Times New Roman" w:cs="Times New Roman"/>
                      <w:b w:val="0"/>
                      <w:bCs w:val="0"/>
                      <w:color w:val="auto"/>
                      <w:sz w:val="21"/>
                      <w:szCs w:val="21"/>
                      <w:highlight w:val="none"/>
                    </w:rPr>
                  </w:pPr>
                  <w:bookmarkStart w:id="21" w:name="hmcheck_83f9914d08724432b77c0ad5d0897ef7"/>
                  <w:r>
                    <w:rPr>
                      <w:rFonts w:hint="default" w:ascii="Times New Roman" w:hAnsi="Times New Roman" w:cs="Times New Roman"/>
                      <w:b w:val="0"/>
                      <w:bCs w:val="0"/>
                      <w:color w:val="auto"/>
                      <w:sz w:val="21"/>
                      <w:szCs w:val="21"/>
                      <w:highlight w:val="none"/>
                    </w:rPr>
                    <w:t>产</w:t>
                  </w:r>
                  <w:bookmarkEnd w:id="21"/>
                  <w:r>
                    <w:rPr>
                      <w:rFonts w:hint="default" w:ascii="Times New Roman" w:hAnsi="Times New Roman" w:cs="Times New Roman"/>
                      <w:b w:val="0"/>
                      <w:bCs w:val="0"/>
                      <w:color w:val="auto"/>
                      <w:sz w:val="21"/>
                      <w:szCs w:val="21"/>
                      <w:highlight w:val="none"/>
                    </w:rPr>
                    <w:t>排污系数表中二氧化硫的产排污系数是以含硫量</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S%</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的形式表示的，其中含硫量</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S%</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是指</w:t>
                  </w:r>
                  <w:r>
                    <w:rPr>
                      <w:rFonts w:hint="default" w:ascii="Times New Roman" w:hAnsi="Times New Roman" w:cs="Times New Roman"/>
                      <w:b w:val="0"/>
                      <w:bCs w:val="0"/>
                      <w:color w:val="auto"/>
                      <w:sz w:val="21"/>
                      <w:szCs w:val="21"/>
                      <w:highlight w:val="none"/>
                      <w:lang w:val="en-US" w:eastAsia="zh-CN"/>
                    </w:rPr>
                    <w:t>燃料</w:t>
                  </w:r>
                  <w:r>
                    <w:rPr>
                      <w:rFonts w:hint="default" w:ascii="Times New Roman" w:hAnsi="Times New Roman" w:cs="Times New Roman"/>
                      <w:b w:val="0"/>
                      <w:bCs w:val="0"/>
                      <w:color w:val="auto"/>
                      <w:sz w:val="21"/>
                      <w:szCs w:val="21"/>
                      <w:highlight w:val="none"/>
                    </w:rPr>
                    <w:t>收到基硫分含量，以质量百分数的形式表示。例如燃料中含硫量</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S%</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为</w:t>
                  </w:r>
                  <w:r>
                    <w:rPr>
                      <w:rFonts w:hint="default" w:ascii="Times New Roman" w:hAnsi="Times New Roman" w:cs="Times New Roman"/>
                      <w:b w:val="0"/>
                      <w:bCs w:val="0"/>
                      <w:color w:val="auto"/>
                      <w:sz w:val="21"/>
                      <w:szCs w:val="21"/>
                      <w:highlight w:val="none"/>
                      <w:lang w:val="en-US" w:eastAsia="zh-CN"/>
                    </w:rPr>
                    <w:t>0.1</w:t>
                  </w:r>
                  <w:r>
                    <w:rPr>
                      <w:rFonts w:hint="default" w:ascii="Times New Roman" w:hAnsi="Times New Roman" w:cs="Times New Roman"/>
                      <w:b w:val="0"/>
                      <w:bCs w:val="0"/>
                      <w:color w:val="auto"/>
                      <w:sz w:val="21"/>
                      <w:szCs w:val="21"/>
                      <w:highlight w:val="none"/>
                    </w:rPr>
                    <w:t>%，则S=</w:t>
                  </w:r>
                  <w:r>
                    <w:rPr>
                      <w:rFonts w:hint="default" w:ascii="Times New Roman" w:hAnsi="Times New Roman" w:cs="Times New Roman"/>
                      <w:b w:val="0"/>
                      <w:bCs w:val="0"/>
                      <w:color w:val="auto"/>
                      <w:sz w:val="21"/>
                      <w:szCs w:val="21"/>
                      <w:highlight w:val="none"/>
                      <w:lang w:val="en-US" w:eastAsia="zh-CN"/>
                    </w:rPr>
                    <w:t>0.1</w:t>
                  </w:r>
                  <w:r>
                    <w:rPr>
                      <w:rFonts w:hint="default" w:ascii="Times New Roman" w:hAnsi="Times New Roman" w:cs="Times New Roman"/>
                      <w:b w:val="0"/>
                      <w:bCs w:val="0"/>
                      <w:color w:val="auto"/>
                      <w:sz w:val="21"/>
                      <w:szCs w:val="21"/>
                      <w:highlight w:val="none"/>
                    </w:rPr>
                    <w:t>。</w:t>
                  </w:r>
                </w:p>
              </w:tc>
            </w:tr>
          </w:tbl>
          <w:p w14:paraId="444CC5F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根据建设单位提供资料，本项目使用</w:t>
            </w:r>
            <w:r>
              <w:rPr>
                <w:rFonts w:hint="default" w:ascii="Times New Roman" w:hAnsi="Times New Roman" w:cs="Times New Roman"/>
                <w:color w:val="auto"/>
                <w:sz w:val="24"/>
                <w:szCs w:val="24"/>
                <w:highlight w:val="none"/>
                <w:lang w:val="en-US" w:eastAsia="zh-CN"/>
              </w:rPr>
              <w:t>生物质的量约</w:t>
            </w:r>
            <w:r>
              <w:rPr>
                <w:rFonts w:hint="default" w:ascii="Times New Roman" w:hAnsi="Times New Roman" w:cs="Times New Roman"/>
                <w:color w:val="auto"/>
                <w:sz w:val="24"/>
                <w:szCs w:val="24"/>
                <w:highlight w:val="none"/>
              </w:rPr>
              <w:t>为</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000</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val="en-US" w:eastAsia="zh-CN"/>
              </w:rPr>
              <w:t>每台热风炉分别使用</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000</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val="en-US" w:eastAsia="zh-CN"/>
              </w:rPr>
              <w:t>由生物质供应厂家提供的燃料组分表</w:t>
            </w:r>
            <w:r>
              <w:rPr>
                <w:rFonts w:hint="default" w:ascii="Times New Roman" w:hAnsi="Times New Roman" w:cs="Times New Roman"/>
                <w:color w:val="auto"/>
                <w:sz w:val="24"/>
                <w:szCs w:val="24"/>
                <w:highlight w:val="none"/>
              </w:rPr>
              <w:t>可知，本项目</w:t>
            </w:r>
            <w:r>
              <w:rPr>
                <w:rFonts w:hint="default" w:ascii="Times New Roman" w:hAnsi="Times New Roman" w:cs="Times New Roman"/>
                <w:color w:val="auto"/>
                <w:sz w:val="24"/>
                <w:szCs w:val="24"/>
                <w:highlight w:val="none"/>
                <w:lang w:val="en-US" w:eastAsia="zh-CN"/>
              </w:rPr>
              <w:t>使用的生物质燃料收到基</w:t>
            </w:r>
            <w:r>
              <w:rPr>
                <w:rFonts w:hint="default" w:ascii="Times New Roman" w:hAnsi="Times New Roman" w:cs="Times New Roman"/>
                <w:color w:val="auto"/>
                <w:sz w:val="24"/>
                <w:szCs w:val="24"/>
                <w:highlight w:val="none"/>
              </w:rPr>
              <w:t>硫分为</w:t>
            </w:r>
            <w:r>
              <w:rPr>
                <w:rFonts w:hint="default" w:ascii="Times New Roman" w:hAnsi="Times New Roman" w:cs="Times New Roman"/>
                <w:color w:val="auto"/>
                <w:sz w:val="24"/>
                <w:szCs w:val="24"/>
                <w:highlight w:val="none"/>
                <w:lang w:val="en-US" w:eastAsia="zh-CN"/>
              </w:rPr>
              <w:t>0.12</w:t>
            </w:r>
            <w:r>
              <w:rPr>
                <w:rFonts w:hint="default" w:ascii="Times New Roman" w:hAnsi="Times New Roman" w:cs="Times New Roman"/>
                <w:color w:val="auto"/>
                <w:sz w:val="24"/>
                <w:szCs w:val="24"/>
                <w:highlight w:val="none"/>
              </w:rPr>
              <w:t>%，则本项目</w:t>
            </w:r>
            <w:r>
              <w:rPr>
                <w:rFonts w:hint="default" w:ascii="Times New Roman" w:hAnsi="Times New Roman" w:cs="Times New Roman"/>
                <w:color w:val="auto"/>
                <w:sz w:val="24"/>
                <w:szCs w:val="24"/>
                <w:highlight w:val="none"/>
                <w:lang w:val="en-US" w:eastAsia="zh-CN"/>
              </w:rPr>
              <w:t>生物质</w:t>
            </w:r>
            <w:r>
              <w:rPr>
                <w:rFonts w:hint="default" w:ascii="Times New Roman" w:hAnsi="Times New Roman" w:cs="Times New Roman"/>
                <w:color w:val="auto"/>
                <w:sz w:val="24"/>
                <w:szCs w:val="24"/>
                <w:highlight w:val="none"/>
              </w:rPr>
              <w:t>热风炉产污情况如下表。</w:t>
            </w:r>
          </w:p>
          <w:p w14:paraId="0CB6481F">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表4-2   生物质热风炉产污情况一览表</w:t>
            </w:r>
          </w:p>
          <w:tbl>
            <w:tblPr>
              <w:tblStyle w:val="19"/>
              <w:tblW w:w="80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66"/>
              <w:gridCol w:w="2084"/>
              <w:gridCol w:w="2251"/>
            </w:tblGrid>
            <w:tr w14:paraId="52F36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tcBorders>
                    <w:top w:val="single" w:color="auto" w:sz="12" w:space="0"/>
                    <w:bottom w:val="single" w:color="auto" w:sz="12" w:space="0"/>
                    <w:right w:val="single" w:color="auto" w:sz="4" w:space="0"/>
                  </w:tcBorders>
                  <w:vAlign w:val="center"/>
                </w:tcPr>
                <w:p w14:paraId="060A7DDA">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类别</w:t>
                  </w:r>
                </w:p>
              </w:tc>
              <w:tc>
                <w:tcPr>
                  <w:tcW w:w="1966" w:type="dxa"/>
                  <w:tcBorders>
                    <w:top w:val="single" w:color="auto" w:sz="12" w:space="0"/>
                    <w:bottom w:val="single" w:color="auto" w:sz="12" w:space="0"/>
                    <w:right w:val="single" w:color="auto" w:sz="4" w:space="0"/>
                  </w:tcBorders>
                  <w:shd w:val="clear" w:color="auto" w:fill="auto"/>
                  <w:vAlign w:val="center"/>
                </w:tcPr>
                <w:p w14:paraId="5714C0D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项目</w:t>
                  </w:r>
                </w:p>
              </w:tc>
              <w:tc>
                <w:tcPr>
                  <w:tcW w:w="2084" w:type="dxa"/>
                  <w:tcBorders>
                    <w:top w:val="single" w:color="auto" w:sz="12" w:space="0"/>
                    <w:left w:val="single" w:color="auto" w:sz="4" w:space="0"/>
                    <w:bottom w:val="single" w:color="auto" w:sz="12" w:space="0"/>
                    <w:right w:val="single" w:color="auto" w:sz="4" w:space="0"/>
                  </w:tcBorders>
                  <w:vAlign w:val="center"/>
                </w:tcPr>
                <w:p w14:paraId="59944C0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产生浓度</w:t>
                  </w:r>
                </w:p>
              </w:tc>
              <w:tc>
                <w:tcPr>
                  <w:tcW w:w="2251" w:type="dxa"/>
                  <w:tcBorders>
                    <w:top w:val="single" w:color="auto" w:sz="12" w:space="0"/>
                    <w:left w:val="single" w:color="auto" w:sz="4" w:space="0"/>
                    <w:bottom w:val="single" w:color="auto" w:sz="12" w:space="0"/>
                  </w:tcBorders>
                  <w:vAlign w:val="center"/>
                </w:tcPr>
                <w:p w14:paraId="41FCB2F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产生量</w:t>
                  </w:r>
                </w:p>
              </w:tc>
            </w:tr>
            <w:tr w14:paraId="639EDC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restart"/>
                  <w:tcBorders>
                    <w:top w:val="single" w:color="auto" w:sz="12" w:space="0"/>
                    <w:right w:val="single" w:color="auto" w:sz="4" w:space="0"/>
                  </w:tcBorders>
                  <w:vAlign w:val="center"/>
                </w:tcPr>
                <w:p w14:paraId="5F575F2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1#热风炉</w:t>
                  </w:r>
                </w:p>
              </w:tc>
              <w:tc>
                <w:tcPr>
                  <w:tcW w:w="1966" w:type="dxa"/>
                  <w:tcBorders>
                    <w:top w:val="single" w:color="auto" w:sz="12" w:space="0"/>
                    <w:bottom w:val="single" w:color="auto" w:sz="4" w:space="0"/>
                    <w:right w:val="single" w:color="auto" w:sz="4" w:space="0"/>
                  </w:tcBorders>
                  <w:shd w:val="clear" w:color="auto" w:fill="auto"/>
                  <w:vAlign w:val="center"/>
                </w:tcPr>
                <w:p w14:paraId="6C63057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烟气量</w:t>
                  </w:r>
                </w:p>
              </w:tc>
              <w:tc>
                <w:tcPr>
                  <w:tcW w:w="2084" w:type="dxa"/>
                  <w:tcBorders>
                    <w:top w:val="single" w:color="auto" w:sz="12" w:space="0"/>
                    <w:left w:val="single" w:color="auto" w:sz="4" w:space="0"/>
                    <w:bottom w:val="single" w:color="auto" w:sz="4" w:space="0"/>
                    <w:right w:val="single" w:color="auto" w:sz="4" w:space="0"/>
                  </w:tcBorders>
                  <w:vAlign w:val="center"/>
                </w:tcPr>
                <w:p w14:paraId="11D413E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2251" w:type="dxa"/>
                  <w:tcBorders>
                    <w:top w:val="single" w:color="auto" w:sz="12" w:space="0"/>
                    <w:left w:val="single" w:color="auto" w:sz="4" w:space="0"/>
                    <w:bottom w:val="single" w:color="auto" w:sz="4" w:space="0"/>
                  </w:tcBorders>
                  <w:vAlign w:val="center"/>
                </w:tcPr>
                <w:p w14:paraId="2D68E9D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1248</w:t>
                  </w:r>
                  <w:r>
                    <w:rPr>
                      <w:rFonts w:hint="default" w:ascii="Times New Roman" w:hAnsi="Times New Roman" w:eastAsia="宋体" w:cs="Times New Roman"/>
                      <w:b w:val="0"/>
                      <w:bCs w:val="0"/>
                      <w:color w:val="auto"/>
                      <w:sz w:val="21"/>
                      <w:szCs w:val="21"/>
                      <w:highlight w:val="none"/>
                      <w:lang w:val="en-US" w:eastAsia="zh-CN"/>
                    </w:rPr>
                    <w:t>0000</w:t>
                  </w:r>
                  <w:r>
                    <w:rPr>
                      <w:rFonts w:hint="default" w:ascii="Times New Roman" w:hAnsi="Times New Roman" w:cs="Times New Roman"/>
                      <w:b w:val="0"/>
                      <w:bCs w:val="0"/>
                      <w:color w:val="auto"/>
                      <w:sz w:val="21"/>
                      <w:szCs w:val="21"/>
                      <w:highlight w:val="none"/>
                    </w:rPr>
                    <w:t>m³/a</w:t>
                  </w:r>
                </w:p>
              </w:tc>
            </w:tr>
            <w:tr w14:paraId="2F4BC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right w:val="single" w:color="auto" w:sz="4" w:space="0"/>
                  </w:tcBorders>
                  <w:vAlign w:val="center"/>
                </w:tcPr>
                <w:p w14:paraId="47F91AA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4" w:space="0"/>
                    <w:right w:val="single" w:color="auto" w:sz="4" w:space="0"/>
                  </w:tcBorders>
                  <w:shd w:val="clear" w:color="auto" w:fill="auto"/>
                  <w:vAlign w:val="center"/>
                </w:tcPr>
                <w:p w14:paraId="2BE8AC7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烟尘</w:t>
                  </w:r>
                </w:p>
              </w:tc>
              <w:tc>
                <w:tcPr>
                  <w:tcW w:w="2084" w:type="dxa"/>
                  <w:tcBorders>
                    <w:top w:val="single" w:color="auto" w:sz="4" w:space="0"/>
                    <w:left w:val="single" w:color="auto" w:sz="4" w:space="0"/>
                    <w:bottom w:val="single" w:color="auto" w:sz="4" w:space="0"/>
                    <w:right w:val="single" w:color="auto" w:sz="4" w:space="0"/>
                  </w:tcBorders>
                  <w:vAlign w:val="center"/>
                </w:tcPr>
                <w:p w14:paraId="052FB46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80.13</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4" w:space="0"/>
                  </w:tcBorders>
                  <w:vAlign w:val="center"/>
                </w:tcPr>
                <w:p w14:paraId="5C932CC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1.0</w:t>
                  </w:r>
                  <w:r>
                    <w:rPr>
                      <w:rFonts w:hint="default" w:ascii="Times New Roman" w:hAnsi="Times New Roman" w:cs="Times New Roman"/>
                      <w:b w:val="0"/>
                      <w:bCs w:val="0"/>
                      <w:color w:val="auto"/>
                      <w:sz w:val="21"/>
                      <w:szCs w:val="21"/>
                      <w:highlight w:val="none"/>
                    </w:rPr>
                    <w:t>t/a</w:t>
                  </w:r>
                </w:p>
              </w:tc>
            </w:tr>
            <w:tr w14:paraId="784B3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right w:val="single" w:color="auto" w:sz="4" w:space="0"/>
                  </w:tcBorders>
                  <w:vAlign w:val="center"/>
                </w:tcPr>
                <w:p w14:paraId="69D200E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4" w:space="0"/>
                    <w:right w:val="single" w:color="auto" w:sz="4" w:space="0"/>
                  </w:tcBorders>
                  <w:shd w:val="clear" w:color="auto" w:fill="auto"/>
                  <w:vAlign w:val="center"/>
                </w:tcPr>
                <w:p w14:paraId="0FAF0E0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二氧化硫</w:t>
                  </w:r>
                </w:p>
              </w:tc>
              <w:tc>
                <w:tcPr>
                  <w:tcW w:w="2084" w:type="dxa"/>
                  <w:tcBorders>
                    <w:top w:val="single" w:color="auto" w:sz="4" w:space="0"/>
                    <w:left w:val="single" w:color="auto" w:sz="4" w:space="0"/>
                    <w:bottom w:val="single" w:color="auto" w:sz="4" w:space="0"/>
                    <w:right w:val="single" w:color="auto" w:sz="4" w:space="0"/>
                  </w:tcBorders>
                  <w:vAlign w:val="center"/>
                </w:tcPr>
                <w:p w14:paraId="7EBEB5F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326.9</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4" w:space="0"/>
                  </w:tcBorders>
                  <w:vAlign w:val="center"/>
                </w:tcPr>
                <w:p w14:paraId="5D4DDAC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4.08</w:t>
                  </w:r>
                  <w:r>
                    <w:rPr>
                      <w:rFonts w:hint="default" w:ascii="Times New Roman" w:hAnsi="Times New Roman" w:cs="Times New Roman"/>
                      <w:b w:val="0"/>
                      <w:bCs w:val="0"/>
                      <w:color w:val="auto"/>
                      <w:sz w:val="21"/>
                      <w:szCs w:val="21"/>
                      <w:highlight w:val="none"/>
                    </w:rPr>
                    <w:t>t/a</w:t>
                  </w:r>
                </w:p>
              </w:tc>
            </w:tr>
            <w:tr w14:paraId="0B29E1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bottom w:val="single" w:color="auto" w:sz="12" w:space="0"/>
                    <w:right w:val="single" w:color="auto" w:sz="4" w:space="0"/>
                  </w:tcBorders>
                  <w:vAlign w:val="center"/>
                </w:tcPr>
                <w:p w14:paraId="654BF50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12" w:space="0"/>
                    <w:right w:val="single" w:color="auto" w:sz="4" w:space="0"/>
                  </w:tcBorders>
                  <w:shd w:val="clear" w:color="auto" w:fill="auto"/>
                  <w:vAlign w:val="center"/>
                </w:tcPr>
                <w:p w14:paraId="024DFF3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氮氧化物</w:t>
                  </w:r>
                </w:p>
              </w:tc>
              <w:tc>
                <w:tcPr>
                  <w:tcW w:w="2084" w:type="dxa"/>
                  <w:tcBorders>
                    <w:top w:val="single" w:color="auto" w:sz="4" w:space="0"/>
                    <w:left w:val="single" w:color="auto" w:sz="4" w:space="0"/>
                    <w:bottom w:val="single" w:color="auto" w:sz="12" w:space="0"/>
                    <w:right w:val="single" w:color="auto" w:sz="4" w:space="0"/>
                  </w:tcBorders>
                  <w:vAlign w:val="center"/>
                </w:tcPr>
                <w:p w14:paraId="5F7979F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163.4</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12" w:space="0"/>
                  </w:tcBorders>
                  <w:vAlign w:val="center"/>
                </w:tcPr>
                <w:p w14:paraId="2D4C490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2.04</w:t>
                  </w:r>
                  <w:r>
                    <w:rPr>
                      <w:rFonts w:hint="default" w:ascii="Times New Roman" w:hAnsi="Times New Roman" w:cs="Times New Roman"/>
                      <w:b w:val="0"/>
                      <w:bCs w:val="0"/>
                      <w:color w:val="auto"/>
                      <w:sz w:val="21"/>
                      <w:szCs w:val="21"/>
                      <w:highlight w:val="none"/>
                    </w:rPr>
                    <w:t>/a</w:t>
                  </w:r>
                </w:p>
              </w:tc>
            </w:tr>
            <w:tr w14:paraId="7C7B4B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restart"/>
                  <w:tcBorders>
                    <w:top w:val="single" w:color="auto" w:sz="12" w:space="0"/>
                    <w:right w:val="single" w:color="auto" w:sz="4" w:space="0"/>
                  </w:tcBorders>
                  <w:vAlign w:val="center"/>
                </w:tcPr>
                <w:p w14:paraId="1F15413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2#热风炉</w:t>
                  </w:r>
                </w:p>
              </w:tc>
              <w:tc>
                <w:tcPr>
                  <w:tcW w:w="1966" w:type="dxa"/>
                  <w:tcBorders>
                    <w:top w:val="single" w:color="auto" w:sz="12" w:space="0"/>
                    <w:bottom w:val="single" w:color="auto" w:sz="4" w:space="0"/>
                    <w:right w:val="single" w:color="auto" w:sz="4" w:space="0"/>
                  </w:tcBorders>
                  <w:shd w:val="clear" w:color="auto" w:fill="auto"/>
                  <w:vAlign w:val="center"/>
                </w:tcPr>
                <w:p w14:paraId="3AC69CE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烟气量</w:t>
                  </w:r>
                </w:p>
              </w:tc>
              <w:tc>
                <w:tcPr>
                  <w:tcW w:w="2084" w:type="dxa"/>
                  <w:tcBorders>
                    <w:top w:val="single" w:color="auto" w:sz="12" w:space="0"/>
                    <w:left w:val="single" w:color="auto" w:sz="4" w:space="0"/>
                    <w:bottom w:val="single" w:color="auto" w:sz="4" w:space="0"/>
                    <w:right w:val="single" w:color="auto" w:sz="4" w:space="0"/>
                  </w:tcBorders>
                  <w:vAlign w:val="center"/>
                </w:tcPr>
                <w:p w14:paraId="146AE35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2251" w:type="dxa"/>
                  <w:tcBorders>
                    <w:top w:val="single" w:color="auto" w:sz="12" w:space="0"/>
                    <w:left w:val="single" w:color="auto" w:sz="4" w:space="0"/>
                    <w:bottom w:val="single" w:color="auto" w:sz="4" w:space="0"/>
                  </w:tcBorders>
                  <w:vAlign w:val="center"/>
                </w:tcPr>
                <w:p w14:paraId="1902289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1248</w:t>
                  </w:r>
                  <w:r>
                    <w:rPr>
                      <w:rFonts w:hint="default" w:ascii="Times New Roman" w:hAnsi="Times New Roman" w:eastAsia="宋体" w:cs="Times New Roman"/>
                      <w:b w:val="0"/>
                      <w:bCs w:val="0"/>
                      <w:color w:val="auto"/>
                      <w:sz w:val="21"/>
                      <w:szCs w:val="21"/>
                      <w:highlight w:val="none"/>
                      <w:lang w:val="en-US" w:eastAsia="zh-CN"/>
                    </w:rPr>
                    <w:t>0000</w:t>
                  </w:r>
                  <w:r>
                    <w:rPr>
                      <w:rFonts w:hint="default" w:ascii="Times New Roman" w:hAnsi="Times New Roman" w:cs="Times New Roman"/>
                      <w:b w:val="0"/>
                      <w:bCs w:val="0"/>
                      <w:color w:val="auto"/>
                      <w:sz w:val="21"/>
                      <w:szCs w:val="21"/>
                      <w:highlight w:val="none"/>
                    </w:rPr>
                    <w:t>m³/a</w:t>
                  </w:r>
                </w:p>
              </w:tc>
            </w:tr>
            <w:tr w14:paraId="00D7F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right w:val="single" w:color="auto" w:sz="4" w:space="0"/>
                  </w:tcBorders>
                  <w:vAlign w:val="center"/>
                </w:tcPr>
                <w:p w14:paraId="106247F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4" w:space="0"/>
                    <w:right w:val="single" w:color="auto" w:sz="4" w:space="0"/>
                  </w:tcBorders>
                  <w:shd w:val="clear" w:color="auto" w:fill="auto"/>
                  <w:vAlign w:val="center"/>
                </w:tcPr>
                <w:p w14:paraId="2576B23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烟尘</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DFBCE5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80.13</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4" w:space="0"/>
                  </w:tcBorders>
                  <w:shd w:val="clear" w:color="auto" w:fill="auto"/>
                  <w:vAlign w:val="center"/>
                </w:tcPr>
                <w:p w14:paraId="64C4DA5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1.0</w:t>
                  </w:r>
                  <w:r>
                    <w:rPr>
                      <w:rFonts w:hint="default" w:ascii="Times New Roman" w:hAnsi="Times New Roman" w:cs="Times New Roman"/>
                      <w:b w:val="0"/>
                      <w:bCs w:val="0"/>
                      <w:color w:val="auto"/>
                      <w:sz w:val="21"/>
                      <w:szCs w:val="21"/>
                      <w:highlight w:val="none"/>
                    </w:rPr>
                    <w:t>t/a</w:t>
                  </w:r>
                </w:p>
              </w:tc>
            </w:tr>
            <w:tr w14:paraId="529F5B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right w:val="single" w:color="auto" w:sz="4" w:space="0"/>
                  </w:tcBorders>
                  <w:vAlign w:val="center"/>
                </w:tcPr>
                <w:p w14:paraId="68AF151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4" w:space="0"/>
                    <w:right w:val="single" w:color="auto" w:sz="4" w:space="0"/>
                  </w:tcBorders>
                  <w:shd w:val="clear" w:color="auto" w:fill="auto"/>
                  <w:vAlign w:val="center"/>
                </w:tcPr>
                <w:p w14:paraId="57EBAAA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二氧化硫</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C22E04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326.9</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4" w:space="0"/>
                  </w:tcBorders>
                  <w:shd w:val="clear" w:color="auto" w:fill="auto"/>
                  <w:vAlign w:val="center"/>
                </w:tcPr>
                <w:p w14:paraId="1416918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4.08</w:t>
                  </w:r>
                  <w:r>
                    <w:rPr>
                      <w:rFonts w:hint="default" w:ascii="Times New Roman" w:hAnsi="Times New Roman" w:cs="Times New Roman"/>
                      <w:b w:val="0"/>
                      <w:bCs w:val="0"/>
                      <w:color w:val="auto"/>
                      <w:sz w:val="21"/>
                      <w:szCs w:val="21"/>
                      <w:highlight w:val="none"/>
                    </w:rPr>
                    <w:t>t/a</w:t>
                  </w:r>
                </w:p>
              </w:tc>
            </w:tr>
            <w:tr w14:paraId="29308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Borders>
                    <w:right w:val="single" w:color="auto" w:sz="4" w:space="0"/>
                  </w:tcBorders>
                  <w:vAlign w:val="center"/>
                </w:tcPr>
                <w:p w14:paraId="124EF5E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66" w:type="dxa"/>
                  <w:tcBorders>
                    <w:top w:val="single" w:color="auto" w:sz="4" w:space="0"/>
                    <w:bottom w:val="single" w:color="auto" w:sz="4" w:space="0"/>
                    <w:right w:val="single" w:color="auto" w:sz="4" w:space="0"/>
                  </w:tcBorders>
                  <w:shd w:val="clear" w:color="auto" w:fill="auto"/>
                  <w:vAlign w:val="center"/>
                </w:tcPr>
                <w:p w14:paraId="0FE37D6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氮氧化物</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16C6DF0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163.4</w:t>
                  </w:r>
                  <w:r>
                    <w:rPr>
                      <w:rFonts w:hint="default" w:ascii="Times New Roman" w:hAnsi="Times New Roman" w:cs="Times New Roman"/>
                      <w:b w:val="0"/>
                      <w:bCs w:val="0"/>
                      <w:color w:val="auto"/>
                      <w:sz w:val="21"/>
                      <w:szCs w:val="21"/>
                      <w:highlight w:val="none"/>
                    </w:rPr>
                    <w:t>mg/m³</w:t>
                  </w:r>
                </w:p>
              </w:tc>
              <w:tc>
                <w:tcPr>
                  <w:tcW w:w="2251" w:type="dxa"/>
                  <w:tcBorders>
                    <w:top w:val="single" w:color="auto" w:sz="4" w:space="0"/>
                    <w:left w:val="single" w:color="auto" w:sz="4" w:space="0"/>
                    <w:bottom w:val="single" w:color="auto" w:sz="4" w:space="0"/>
                  </w:tcBorders>
                  <w:shd w:val="clear" w:color="auto" w:fill="auto"/>
                  <w:vAlign w:val="center"/>
                </w:tcPr>
                <w:p w14:paraId="215252F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2.04</w:t>
                  </w:r>
                  <w:r>
                    <w:rPr>
                      <w:rFonts w:hint="default" w:ascii="Times New Roman" w:hAnsi="Times New Roman" w:cs="Times New Roman"/>
                      <w:b w:val="0"/>
                      <w:bCs w:val="0"/>
                      <w:color w:val="auto"/>
                      <w:sz w:val="21"/>
                      <w:szCs w:val="21"/>
                      <w:highlight w:val="none"/>
                    </w:rPr>
                    <w:t>/a</w:t>
                  </w:r>
                </w:p>
              </w:tc>
            </w:tr>
          </w:tbl>
          <w:p w14:paraId="03A6856C">
            <w:pPr>
              <w:spacing w:line="360" w:lineRule="auto"/>
              <w:ind w:firstLine="480" w:firstLineChars="200"/>
              <w:rPr>
                <w:rFonts w:hint="default" w:ascii="Times New Roman" w:hAnsi="Times New Roman" w:cs="Times New Roman"/>
                <w:color w:val="auto"/>
                <w:sz w:val="24"/>
                <w:szCs w:val="24"/>
                <w:highlight w:val="none"/>
              </w:rPr>
            </w:pPr>
          </w:p>
          <w:p w14:paraId="737AD8D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低氮燃烧技术+陶瓷多管除尘+布袋除尘+双碱法脱硫</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工艺治理生物质</w:t>
            </w:r>
            <w:r>
              <w:rPr>
                <w:rFonts w:hint="default" w:ascii="Times New Roman" w:hAnsi="Times New Roman" w:cs="Times New Roman"/>
                <w:color w:val="auto"/>
                <w:sz w:val="24"/>
                <w:szCs w:val="24"/>
                <w:highlight w:val="none"/>
              </w:rPr>
              <w:t>热风炉</w:t>
            </w:r>
            <w:r>
              <w:rPr>
                <w:rFonts w:hint="default" w:ascii="Times New Roman" w:hAnsi="Times New Roman" w:cs="Times New Roman"/>
                <w:color w:val="auto"/>
                <w:sz w:val="24"/>
                <w:szCs w:val="24"/>
                <w:highlight w:val="none"/>
                <w:lang w:val="en-US" w:eastAsia="zh-CN"/>
              </w:rPr>
              <w:t>废气，根据《锅炉产排污量核算系数手册》可知，多管旋风除尘去除</w:t>
            </w:r>
            <w:r>
              <w:rPr>
                <w:rFonts w:hint="default" w:ascii="Times New Roman" w:hAnsi="Times New Roman" w:cs="Times New Roman"/>
                <w:color w:val="auto"/>
                <w:sz w:val="24"/>
                <w:szCs w:val="24"/>
                <w:highlight w:val="none"/>
              </w:rPr>
              <w:t>效率</w:t>
            </w:r>
            <w:r>
              <w:rPr>
                <w:rFonts w:hint="default" w:ascii="Times New Roman" w:hAnsi="Times New Roman" w:cs="Times New Roman"/>
                <w:color w:val="auto"/>
                <w:sz w:val="24"/>
                <w:szCs w:val="24"/>
                <w:highlight w:val="none"/>
                <w:lang w:val="en-US" w:eastAsia="zh-CN"/>
              </w:rPr>
              <w:t>为70%</w:t>
            </w:r>
            <w:r>
              <w:rPr>
                <w:rFonts w:hint="eastAsia" w:cs="Times New Roman"/>
                <w:color w:val="auto"/>
                <w:sz w:val="24"/>
                <w:szCs w:val="24"/>
                <w:highlight w:val="none"/>
                <w:lang w:val="en-US" w:eastAsia="zh-CN"/>
              </w:rPr>
              <w:t>，袋式除尘</w:t>
            </w:r>
            <w:r>
              <w:rPr>
                <w:rFonts w:hint="default" w:ascii="Times New Roman" w:hAnsi="Times New Roman" w:cs="Times New Roman"/>
                <w:color w:val="auto"/>
                <w:sz w:val="24"/>
                <w:szCs w:val="24"/>
                <w:highlight w:val="none"/>
                <w:lang w:val="en-US" w:eastAsia="zh-CN"/>
              </w:rPr>
              <w:t>去除</w:t>
            </w:r>
            <w:r>
              <w:rPr>
                <w:rFonts w:hint="default" w:ascii="Times New Roman" w:hAnsi="Times New Roman" w:cs="Times New Roman"/>
                <w:color w:val="auto"/>
                <w:sz w:val="24"/>
                <w:szCs w:val="24"/>
                <w:highlight w:val="none"/>
              </w:rPr>
              <w:t>效率</w:t>
            </w:r>
            <w:r>
              <w:rPr>
                <w:rFonts w:hint="default" w:ascii="Times New Roman" w:hAnsi="Times New Roman"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99.7</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eastAsia="zh-CN"/>
              </w:rPr>
              <w:t>低氮燃烧</w:t>
            </w:r>
            <w:r>
              <w:rPr>
                <w:rFonts w:hint="default" w:ascii="Times New Roman" w:hAnsi="Times New Roman" w:cs="Times New Roman"/>
                <w:color w:val="auto"/>
                <w:sz w:val="24"/>
                <w:szCs w:val="24"/>
                <w:highlight w:val="none"/>
                <w:lang w:val="en-US" w:eastAsia="zh-CN"/>
              </w:rPr>
              <w:t>去除</w:t>
            </w:r>
            <w:r>
              <w:rPr>
                <w:rFonts w:hint="default" w:ascii="Times New Roman" w:hAnsi="Times New Roman" w:cs="Times New Roman"/>
                <w:color w:val="auto"/>
                <w:sz w:val="24"/>
                <w:szCs w:val="24"/>
                <w:highlight w:val="none"/>
              </w:rPr>
              <w:t>效率</w:t>
            </w:r>
            <w:r>
              <w:rPr>
                <w:rFonts w:hint="default" w:ascii="Times New Roman" w:hAnsi="Times New Roman"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val="en-US" w:eastAsia="zh-CN"/>
              </w:rPr>
              <w:t>%，双碱法脱硫去除</w:t>
            </w:r>
            <w:r>
              <w:rPr>
                <w:rFonts w:hint="default" w:ascii="Times New Roman" w:hAnsi="Times New Roman" w:cs="Times New Roman"/>
                <w:color w:val="auto"/>
                <w:sz w:val="24"/>
                <w:szCs w:val="24"/>
                <w:highlight w:val="none"/>
              </w:rPr>
              <w:t>效率</w:t>
            </w:r>
            <w:r>
              <w:rPr>
                <w:rFonts w:hint="default" w:ascii="Times New Roman" w:hAnsi="Times New Roman" w:cs="Times New Roman"/>
                <w:color w:val="auto"/>
                <w:sz w:val="24"/>
                <w:szCs w:val="24"/>
                <w:highlight w:val="none"/>
                <w:lang w:val="en-US" w:eastAsia="zh-CN"/>
              </w:rPr>
              <w:t>为</w:t>
            </w:r>
            <w:r>
              <w:rPr>
                <w:rFonts w:hint="eastAsia" w:cs="Times New Roman"/>
                <w:color w:val="auto"/>
                <w:sz w:val="24"/>
                <w:szCs w:val="24"/>
                <w:highlight w:val="none"/>
                <w:lang w:val="en-US" w:eastAsia="zh-CN"/>
              </w:rPr>
              <w:t>95</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（参照《污染源源强核算技术指南-锅炉》（HJ991-2018）中表B.7，SO2脱除效率为90</w:t>
            </w:r>
            <w:r>
              <w:rPr>
                <w:rFonts w:hint="eastAsia" w:ascii="仿宋" w:hAnsi="仿宋" w:eastAsia="仿宋" w:cs="仿宋"/>
                <w:color w:val="auto"/>
                <w:sz w:val="24"/>
                <w:szCs w:val="24"/>
                <w:highlight w:val="none"/>
                <w:lang w:val="en-US" w:eastAsia="zh-CN"/>
              </w:rPr>
              <w:t>～</w:t>
            </w:r>
            <w:r>
              <w:rPr>
                <w:rFonts w:hint="eastAsia" w:cs="Times New Roman"/>
                <w:color w:val="auto"/>
                <w:sz w:val="24"/>
                <w:szCs w:val="24"/>
                <w:highlight w:val="none"/>
                <w:lang w:val="en-US" w:eastAsia="zh-CN"/>
              </w:rPr>
              <w:t>99%，本次取95%）</w:t>
            </w:r>
            <w:r>
              <w:rPr>
                <w:rFonts w:hint="default" w:ascii="Times New Roman" w:hAnsi="Times New Roman" w:cs="Times New Roman"/>
                <w:color w:val="auto"/>
                <w:sz w:val="24"/>
                <w:szCs w:val="24"/>
                <w:highlight w:val="none"/>
                <w:lang w:val="en-US" w:eastAsia="zh-CN"/>
              </w:rPr>
              <w:t>，处理后的废气</w:t>
            </w:r>
            <w:r>
              <w:rPr>
                <w:rFonts w:hint="eastAsia" w:cs="Times New Roman"/>
                <w:color w:val="auto"/>
                <w:sz w:val="24"/>
                <w:szCs w:val="24"/>
                <w:highlight w:val="none"/>
                <w:lang w:val="en-US" w:eastAsia="zh-CN"/>
              </w:rPr>
              <w:t>各</w:t>
            </w:r>
            <w:r>
              <w:rPr>
                <w:rFonts w:hint="default" w:ascii="Times New Roman" w:hAnsi="Times New Roman" w:cs="Times New Roman"/>
                <w:color w:val="auto"/>
                <w:sz w:val="24"/>
                <w:szCs w:val="24"/>
                <w:highlight w:val="none"/>
                <w:lang w:val="en-US" w:eastAsia="zh-CN"/>
              </w:rPr>
              <w:t>污染物排放情况</w:t>
            </w:r>
            <w:r>
              <w:rPr>
                <w:rFonts w:hint="default" w:ascii="Times New Roman" w:hAnsi="Times New Roman" w:cs="Times New Roman"/>
                <w:color w:val="auto"/>
                <w:sz w:val="24"/>
                <w:szCs w:val="24"/>
                <w:highlight w:val="none"/>
              </w:rPr>
              <w:t>如下表。</w:t>
            </w:r>
          </w:p>
          <w:p w14:paraId="6E56A222">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   生物质热风炉排污情况一览表</w:t>
            </w:r>
          </w:p>
          <w:tbl>
            <w:tblPr>
              <w:tblStyle w:val="19"/>
              <w:tblW w:w="804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952"/>
              <w:gridCol w:w="2100"/>
              <w:gridCol w:w="2199"/>
            </w:tblGrid>
            <w:tr w14:paraId="79E47F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12" w:space="0"/>
                    <w:bottom w:val="single" w:color="auto" w:sz="12" w:space="0"/>
                    <w:right w:val="single" w:color="auto" w:sz="4" w:space="0"/>
                  </w:tcBorders>
                  <w:vAlign w:val="center"/>
                </w:tcPr>
                <w:p w14:paraId="7E0443E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w:t>
                  </w:r>
                </w:p>
              </w:tc>
              <w:tc>
                <w:tcPr>
                  <w:tcW w:w="1952" w:type="dxa"/>
                  <w:tcBorders>
                    <w:top w:val="single" w:color="auto" w:sz="12" w:space="0"/>
                    <w:bottom w:val="single" w:color="auto" w:sz="12" w:space="0"/>
                    <w:right w:val="single" w:color="auto" w:sz="4" w:space="0"/>
                  </w:tcBorders>
                  <w:shd w:val="clear" w:color="auto" w:fill="auto"/>
                  <w:vAlign w:val="center"/>
                </w:tcPr>
                <w:p w14:paraId="2D79D23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项目</w:t>
                  </w:r>
                </w:p>
              </w:tc>
              <w:tc>
                <w:tcPr>
                  <w:tcW w:w="2100" w:type="dxa"/>
                  <w:tcBorders>
                    <w:top w:val="single" w:color="auto" w:sz="12" w:space="0"/>
                    <w:left w:val="single" w:color="auto" w:sz="4" w:space="0"/>
                    <w:bottom w:val="single" w:color="auto" w:sz="12" w:space="0"/>
                    <w:right w:val="single" w:color="auto" w:sz="4" w:space="0"/>
                  </w:tcBorders>
                  <w:vAlign w:val="center"/>
                </w:tcPr>
                <w:p w14:paraId="2CE0AB2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排放浓度</w:t>
                  </w:r>
                </w:p>
              </w:tc>
              <w:tc>
                <w:tcPr>
                  <w:tcW w:w="2199" w:type="dxa"/>
                  <w:tcBorders>
                    <w:top w:val="single" w:color="auto" w:sz="12" w:space="0"/>
                    <w:left w:val="single" w:color="auto" w:sz="4" w:space="0"/>
                    <w:bottom w:val="single" w:color="auto" w:sz="12" w:space="0"/>
                  </w:tcBorders>
                  <w:vAlign w:val="center"/>
                </w:tcPr>
                <w:p w14:paraId="5BA1F95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排放量</w:t>
                  </w:r>
                </w:p>
              </w:tc>
            </w:tr>
            <w:tr w14:paraId="3023A0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restart"/>
                  <w:tcBorders>
                    <w:top w:val="single" w:color="auto" w:sz="12" w:space="0"/>
                    <w:right w:val="single" w:color="auto" w:sz="4" w:space="0"/>
                  </w:tcBorders>
                  <w:vAlign w:val="center"/>
                </w:tcPr>
                <w:p w14:paraId="11FB349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1#热风炉</w:t>
                  </w:r>
                </w:p>
              </w:tc>
              <w:tc>
                <w:tcPr>
                  <w:tcW w:w="1952" w:type="dxa"/>
                  <w:tcBorders>
                    <w:top w:val="single" w:color="auto" w:sz="12" w:space="0"/>
                    <w:bottom w:val="single" w:color="auto" w:sz="4" w:space="0"/>
                    <w:right w:val="single" w:color="auto" w:sz="4" w:space="0"/>
                  </w:tcBorders>
                  <w:shd w:val="clear" w:color="auto" w:fill="auto"/>
                  <w:vAlign w:val="center"/>
                </w:tcPr>
                <w:p w14:paraId="0615F16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烟气量</w:t>
                  </w:r>
                </w:p>
              </w:tc>
              <w:tc>
                <w:tcPr>
                  <w:tcW w:w="2100" w:type="dxa"/>
                  <w:tcBorders>
                    <w:top w:val="single" w:color="auto" w:sz="12" w:space="0"/>
                    <w:left w:val="single" w:color="auto" w:sz="4" w:space="0"/>
                    <w:bottom w:val="single" w:color="auto" w:sz="4" w:space="0"/>
                    <w:right w:val="single" w:color="auto" w:sz="4" w:space="0"/>
                  </w:tcBorders>
                  <w:vAlign w:val="center"/>
                </w:tcPr>
                <w:p w14:paraId="4AAC58E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2199" w:type="dxa"/>
                  <w:tcBorders>
                    <w:top w:val="single" w:color="auto" w:sz="12" w:space="0"/>
                    <w:left w:val="single" w:color="auto" w:sz="4" w:space="0"/>
                    <w:bottom w:val="single" w:color="auto" w:sz="4" w:space="0"/>
                  </w:tcBorders>
                  <w:vAlign w:val="center"/>
                </w:tcPr>
                <w:p w14:paraId="44EF9A3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1248</w:t>
                  </w:r>
                  <w:r>
                    <w:rPr>
                      <w:rFonts w:hint="default" w:ascii="Times New Roman" w:hAnsi="Times New Roman" w:eastAsia="宋体" w:cs="Times New Roman"/>
                      <w:b w:val="0"/>
                      <w:bCs w:val="0"/>
                      <w:color w:val="auto"/>
                      <w:sz w:val="21"/>
                      <w:szCs w:val="21"/>
                      <w:highlight w:val="none"/>
                      <w:lang w:val="en-US" w:eastAsia="zh-CN"/>
                    </w:rPr>
                    <w:t>0000</w:t>
                  </w:r>
                  <w:r>
                    <w:rPr>
                      <w:rFonts w:hint="default" w:ascii="Times New Roman" w:hAnsi="Times New Roman" w:cs="Times New Roman"/>
                      <w:b w:val="0"/>
                      <w:bCs w:val="0"/>
                      <w:color w:val="auto"/>
                      <w:sz w:val="21"/>
                      <w:szCs w:val="21"/>
                      <w:highlight w:val="none"/>
                    </w:rPr>
                    <w:t>m³/a</w:t>
                  </w:r>
                </w:p>
              </w:tc>
            </w:tr>
            <w:tr w14:paraId="23412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7E49F35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2404962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烟尘</w:t>
                  </w:r>
                </w:p>
              </w:tc>
              <w:tc>
                <w:tcPr>
                  <w:tcW w:w="2100" w:type="dxa"/>
                  <w:tcBorders>
                    <w:top w:val="single" w:color="auto" w:sz="4" w:space="0"/>
                    <w:left w:val="single" w:color="auto" w:sz="4" w:space="0"/>
                    <w:bottom w:val="single" w:color="auto" w:sz="4" w:space="0"/>
                    <w:right w:val="single" w:color="auto" w:sz="4" w:space="0"/>
                  </w:tcBorders>
                  <w:vAlign w:val="center"/>
                </w:tcPr>
                <w:p w14:paraId="14CCFBF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0.08</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4" w:space="0"/>
                  </w:tcBorders>
                  <w:vAlign w:val="center"/>
                </w:tcPr>
                <w:p w14:paraId="7EDF3FD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001</w:t>
                  </w:r>
                  <w:r>
                    <w:rPr>
                      <w:rFonts w:hint="default" w:ascii="Times New Roman" w:hAnsi="Times New Roman" w:cs="Times New Roman"/>
                      <w:b w:val="0"/>
                      <w:bCs w:val="0"/>
                      <w:color w:val="auto"/>
                      <w:sz w:val="21"/>
                      <w:szCs w:val="21"/>
                      <w:highlight w:val="none"/>
                    </w:rPr>
                    <w:t>t/a</w:t>
                  </w:r>
                </w:p>
              </w:tc>
            </w:tr>
            <w:tr w14:paraId="3F45A3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4053079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0B15449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二氧化硫</w:t>
                  </w:r>
                </w:p>
              </w:tc>
              <w:tc>
                <w:tcPr>
                  <w:tcW w:w="2100" w:type="dxa"/>
                  <w:tcBorders>
                    <w:top w:val="single" w:color="auto" w:sz="4" w:space="0"/>
                    <w:left w:val="single" w:color="auto" w:sz="4" w:space="0"/>
                    <w:bottom w:val="single" w:color="auto" w:sz="4" w:space="0"/>
                    <w:right w:val="single" w:color="auto" w:sz="4" w:space="0"/>
                  </w:tcBorders>
                  <w:vAlign w:val="center"/>
                </w:tcPr>
                <w:p w14:paraId="4CB3BD8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16.35</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4" w:space="0"/>
                  </w:tcBorders>
                  <w:vAlign w:val="center"/>
                </w:tcPr>
                <w:p w14:paraId="1846DAB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204</w:t>
                  </w:r>
                  <w:r>
                    <w:rPr>
                      <w:rFonts w:hint="default" w:ascii="Times New Roman" w:hAnsi="Times New Roman" w:cs="Times New Roman"/>
                      <w:b w:val="0"/>
                      <w:bCs w:val="0"/>
                      <w:color w:val="auto"/>
                      <w:sz w:val="21"/>
                      <w:szCs w:val="21"/>
                      <w:highlight w:val="none"/>
                    </w:rPr>
                    <w:t>t/a</w:t>
                  </w:r>
                </w:p>
              </w:tc>
            </w:tr>
            <w:tr w14:paraId="108248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bottom w:val="single" w:color="auto" w:sz="12" w:space="0"/>
                    <w:right w:val="single" w:color="auto" w:sz="4" w:space="0"/>
                  </w:tcBorders>
                  <w:vAlign w:val="center"/>
                </w:tcPr>
                <w:p w14:paraId="753FA93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12" w:space="0"/>
                    <w:right w:val="single" w:color="auto" w:sz="4" w:space="0"/>
                  </w:tcBorders>
                  <w:shd w:val="clear" w:color="auto" w:fill="auto"/>
                  <w:vAlign w:val="center"/>
                </w:tcPr>
                <w:p w14:paraId="0CAD4FE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氮氧化物</w:t>
                  </w:r>
                </w:p>
              </w:tc>
              <w:tc>
                <w:tcPr>
                  <w:tcW w:w="2100" w:type="dxa"/>
                  <w:tcBorders>
                    <w:top w:val="single" w:color="auto" w:sz="4" w:space="0"/>
                    <w:left w:val="single" w:color="auto" w:sz="4" w:space="0"/>
                    <w:bottom w:val="single" w:color="auto" w:sz="12" w:space="0"/>
                    <w:right w:val="single" w:color="auto" w:sz="4" w:space="0"/>
                  </w:tcBorders>
                  <w:vAlign w:val="center"/>
                </w:tcPr>
                <w:p w14:paraId="35EED67A">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114.42</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12" w:space="0"/>
                  </w:tcBorders>
                  <w:vAlign w:val="center"/>
                </w:tcPr>
                <w:p w14:paraId="79B0B0A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1.428</w:t>
                  </w:r>
                  <w:r>
                    <w:rPr>
                      <w:rFonts w:hint="default" w:ascii="Times New Roman" w:hAnsi="Times New Roman" w:cs="Times New Roman"/>
                      <w:b w:val="0"/>
                      <w:bCs w:val="0"/>
                      <w:color w:val="auto"/>
                      <w:sz w:val="21"/>
                      <w:szCs w:val="21"/>
                      <w:highlight w:val="none"/>
                      <w:lang w:val="en-US" w:eastAsia="zh-CN"/>
                    </w:rPr>
                    <w:t>t</w:t>
                  </w:r>
                  <w:r>
                    <w:rPr>
                      <w:rFonts w:hint="default" w:ascii="Times New Roman" w:hAnsi="Times New Roman" w:cs="Times New Roman"/>
                      <w:b w:val="0"/>
                      <w:bCs w:val="0"/>
                      <w:color w:val="auto"/>
                      <w:sz w:val="21"/>
                      <w:szCs w:val="21"/>
                      <w:highlight w:val="none"/>
                    </w:rPr>
                    <w:t>/a</w:t>
                  </w:r>
                </w:p>
              </w:tc>
            </w:tr>
            <w:tr w14:paraId="4BBC3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restart"/>
                  <w:tcBorders>
                    <w:top w:val="single" w:color="auto" w:sz="12" w:space="0"/>
                    <w:right w:val="single" w:color="auto" w:sz="4" w:space="0"/>
                  </w:tcBorders>
                  <w:vAlign w:val="center"/>
                </w:tcPr>
                <w:p w14:paraId="6C23F5F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2#热风炉</w:t>
                  </w:r>
                </w:p>
              </w:tc>
              <w:tc>
                <w:tcPr>
                  <w:tcW w:w="1952" w:type="dxa"/>
                  <w:tcBorders>
                    <w:top w:val="single" w:color="auto" w:sz="12" w:space="0"/>
                    <w:bottom w:val="single" w:color="auto" w:sz="4" w:space="0"/>
                    <w:right w:val="single" w:color="auto" w:sz="4" w:space="0"/>
                  </w:tcBorders>
                  <w:shd w:val="clear" w:color="auto" w:fill="auto"/>
                  <w:vAlign w:val="center"/>
                </w:tcPr>
                <w:p w14:paraId="0792FB1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烟气量</w:t>
                  </w:r>
                </w:p>
              </w:tc>
              <w:tc>
                <w:tcPr>
                  <w:tcW w:w="2100" w:type="dxa"/>
                  <w:tcBorders>
                    <w:top w:val="single" w:color="auto" w:sz="12" w:space="0"/>
                    <w:left w:val="single" w:color="auto" w:sz="4" w:space="0"/>
                    <w:bottom w:val="single" w:color="auto" w:sz="4" w:space="0"/>
                    <w:right w:val="single" w:color="auto" w:sz="4" w:space="0"/>
                  </w:tcBorders>
                  <w:shd w:val="clear" w:color="auto" w:fill="auto"/>
                  <w:vAlign w:val="center"/>
                </w:tcPr>
                <w:p w14:paraId="11B2242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w:t>
                  </w:r>
                </w:p>
              </w:tc>
              <w:tc>
                <w:tcPr>
                  <w:tcW w:w="2199" w:type="dxa"/>
                  <w:tcBorders>
                    <w:top w:val="single" w:color="auto" w:sz="12" w:space="0"/>
                    <w:left w:val="single" w:color="auto" w:sz="4" w:space="0"/>
                    <w:bottom w:val="single" w:color="auto" w:sz="4" w:space="0"/>
                  </w:tcBorders>
                  <w:shd w:val="clear" w:color="auto" w:fill="auto"/>
                  <w:vAlign w:val="center"/>
                </w:tcPr>
                <w:p w14:paraId="0FD27B0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1248</w:t>
                  </w:r>
                  <w:r>
                    <w:rPr>
                      <w:rFonts w:hint="default" w:ascii="Times New Roman" w:hAnsi="Times New Roman" w:eastAsia="宋体" w:cs="Times New Roman"/>
                      <w:b w:val="0"/>
                      <w:bCs w:val="0"/>
                      <w:color w:val="auto"/>
                      <w:sz w:val="21"/>
                      <w:szCs w:val="21"/>
                      <w:highlight w:val="none"/>
                      <w:lang w:val="en-US" w:eastAsia="zh-CN"/>
                    </w:rPr>
                    <w:t>0000</w:t>
                  </w:r>
                  <w:r>
                    <w:rPr>
                      <w:rFonts w:hint="default" w:ascii="Times New Roman" w:hAnsi="Times New Roman" w:cs="Times New Roman"/>
                      <w:b w:val="0"/>
                      <w:bCs w:val="0"/>
                      <w:color w:val="auto"/>
                      <w:sz w:val="21"/>
                      <w:szCs w:val="21"/>
                      <w:highlight w:val="none"/>
                    </w:rPr>
                    <w:t>m³/a</w:t>
                  </w:r>
                </w:p>
              </w:tc>
            </w:tr>
            <w:tr w14:paraId="13426F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205ECE1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1ED7C8C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烟尘</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623A71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0.08</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4" w:space="0"/>
                  </w:tcBorders>
                  <w:shd w:val="clear" w:color="auto" w:fill="auto"/>
                  <w:vAlign w:val="center"/>
                </w:tcPr>
                <w:p w14:paraId="4ED19A0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001</w:t>
                  </w:r>
                  <w:r>
                    <w:rPr>
                      <w:rFonts w:hint="default" w:ascii="Times New Roman" w:hAnsi="Times New Roman" w:cs="Times New Roman"/>
                      <w:b w:val="0"/>
                      <w:bCs w:val="0"/>
                      <w:color w:val="auto"/>
                      <w:sz w:val="21"/>
                      <w:szCs w:val="21"/>
                      <w:highlight w:val="none"/>
                    </w:rPr>
                    <w:t>t/a</w:t>
                  </w:r>
                </w:p>
              </w:tc>
            </w:tr>
            <w:tr w14:paraId="70D06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5E09AB7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0A0CEC9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二氧化硫</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60A858E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16.35</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4" w:space="0"/>
                  </w:tcBorders>
                  <w:shd w:val="clear" w:color="auto" w:fill="auto"/>
                  <w:vAlign w:val="center"/>
                </w:tcPr>
                <w:p w14:paraId="247214A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204</w:t>
                  </w:r>
                  <w:r>
                    <w:rPr>
                      <w:rFonts w:hint="default" w:ascii="Times New Roman" w:hAnsi="Times New Roman" w:cs="Times New Roman"/>
                      <w:b w:val="0"/>
                      <w:bCs w:val="0"/>
                      <w:color w:val="auto"/>
                      <w:sz w:val="21"/>
                      <w:szCs w:val="21"/>
                      <w:highlight w:val="none"/>
                    </w:rPr>
                    <w:t>t/a</w:t>
                  </w:r>
                </w:p>
              </w:tc>
            </w:tr>
            <w:tr w14:paraId="324DA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1B15C28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095F368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氮氧化物</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3349C0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114.42</w:t>
                  </w:r>
                  <w:r>
                    <w:rPr>
                      <w:rFonts w:hint="default" w:ascii="Times New Roman" w:hAnsi="Times New Roman" w:cs="Times New Roman"/>
                      <w:b w:val="0"/>
                      <w:bCs w:val="0"/>
                      <w:color w:val="auto"/>
                      <w:sz w:val="21"/>
                      <w:szCs w:val="21"/>
                      <w:highlight w:val="none"/>
                    </w:rPr>
                    <w:t>mg/m³</w:t>
                  </w:r>
                </w:p>
              </w:tc>
              <w:tc>
                <w:tcPr>
                  <w:tcW w:w="2199" w:type="dxa"/>
                  <w:tcBorders>
                    <w:top w:val="single" w:color="auto" w:sz="4" w:space="0"/>
                    <w:left w:val="single" w:color="auto" w:sz="4" w:space="0"/>
                    <w:bottom w:val="single" w:color="auto" w:sz="4" w:space="0"/>
                  </w:tcBorders>
                  <w:shd w:val="clear" w:color="auto" w:fill="auto"/>
                  <w:vAlign w:val="center"/>
                </w:tcPr>
                <w:p w14:paraId="001FBC5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1.428</w:t>
                  </w:r>
                  <w:r>
                    <w:rPr>
                      <w:rFonts w:hint="default" w:ascii="Times New Roman" w:hAnsi="Times New Roman" w:cs="Times New Roman"/>
                      <w:b w:val="0"/>
                      <w:bCs w:val="0"/>
                      <w:color w:val="auto"/>
                      <w:sz w:val="21"/>
                      <w:szCs w:val="21"/>
                      <w:highlight w:val="none"/>
                      <w:lang w:val="en-US" w:eastAsia="zh-CN"/>
                    </w:rPr>
                    <w:t>t</w:t>
                  </w:r>
                  <w:r>
                    <w:rPr>
                      <w:rFonts w:hint="default" w:ascii="Times New Roman" w:hAnsi="Times New Roman" w:cs="Times New Roman"/>
                      <w:b w:val="0"/>
                      <w:bCs w:val="0"/>
                      <w:color w:val="auto"/>
                      <w:sz w:val="21"/>
                      <w:szCs w:val="21"/>
                      <w:highlight w:val="none"/>
                    </w:rPr>
                    <w:t>/a</w:t>
                  </w:r>
                </w:p>
              </w:tc>
            </w:tr>
            <w:tr w14:paraId="45D53E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restart"/>
                  <w:tcBorders>
                    <w:right w:val="single" w:color="auto" w:sz="4" w:space="0"/>
                  </w:tcBorders>
                  <w:vAlign w:val="center"/>
                </w:tcPr>
                <w:p w14:paraId="6C7C3B4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合计</w:t>
                  </w:r>
                </w:p>
              </w:tc>
              <w:tc>
                <w:tcPr>
                  <w:tcW w:w="1952" w:type="dxa"/>
                  <w:tcBorders>
                    <w:top w:val="single" w:color="auto" w:sz="4" w:space="0"/>
                    <w:bottom w:val="single" w:color="auto" w:sz="4" w:space="0"/>
                    <w:right w:val="single" w:color="auto" w:sz="4" w:space="0"/>
                  </w:tcBorders>
                  <w:shd w:val="clear" w:color="auto" w:fill="auto"/>
                  <w:vAlign w:val="center"/>
                </w:tcPr>
                <w:p w14:paraId="0FD5C1D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烟气量</w:t>
                  </w:r>
                </w:p>
              </w:tc>
              <w:tc>
                <w:tcPr>
                  <w:tcW w:w="2100" w:type="dxa"/>
                  <w:tcBorders>
                    <w:top w:val="single" w:color="auto" w:sz="4" w:space="0"/>
                    <w:left w:val="single" w:color="auto" w:sz="4" w:space="0"/>
                    <w:bottom w:val="single" w:color="auto" w:sz="4" w:space="0"/>
                    <w:right w:val="single" w:color="auto" w:sz="4" w:space="0"/>
                  </w:tcBorders>
                  <w:vAlign w:val="center"/>
                </w:tcPr>
                <w:p w14:paraId="25D5AF0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2199" w:type="dxa"/>
                  <w:tcBorders>
                    <w:top w:val="single" w:color="auto" w:sz="4" w:space="0"/>
                    <w:left w:val="single" w:color="auto" w:sz="4" w:space="0"/>
                    <w:bottom w:val="single" w:color="auto" w:sz="4" w:space="0"/>
                  </w:tcBorders>
                  <w:vAlign w:val="center"/>
                </w:tcPr>
                <w:p w14:paraId="7ACEEBC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2496</w:t>
                  </w:r>
                  <w:r>
                    <w:rPr>
                      <w:rFonts w:hint="default" w:ascii="Times New Roman" w:hAnsi="Times New Roman" w:eastAsia="宋体" w:cs="Times New Roman"/>
                      <w:b w:val="0"/>
                      <w:bCs w:val="0"/>
                      <w:color w:val="auto"/>
                      <w:sz w:val="21"/>
                      <w:szCs w:val="21"/>
                      <w:highlight w:val="none"/>
                      <w:lang w:val="en-US" w:eastAsia="zh-CN"/>
                    </w:rPr>
                    <w:t>0000</w:t>
                  </w:r>
                  <w:r>
                    <w:rPr>
                      <w:rFonts w:hint="default" w:ascii="Times New Roman" w:hAnsi="Times New Roman" w:cs="Times New Roman"/>
                      <w:b w:val="0"/>
                      <w:bCs w:val="0"/>
                      <w:color w:val="auto"/>
                      <w:sz w:val="21"/>
                      <w:szCs w:val="21"/>
                      <w:highlight w:val="none"/>
                    </w:rPr>
                    <w:t>m³/a</w:t>
                  </w:r>
                </w:p>
              </w:tc>
            </w:tr>
            <w:tr w14:paraId="76A89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63BF929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29CA40C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烟尘</w:t>
                  </w:r>
                </w:p>
              </w:tc>
              <w:tc>
                <w:tcPr>
                  <w:tcW w:w="2100" w:type="dxa"/>
                  <w:tcBorders>
                    <w:top w:val="single" w:color="auto" w:sz="4" w:space="0"/>
                    <w:left w:val="single" w:color="auto" w:sz="4" w:space="0"/>
                    <w:bottom w:val="single" w:color="auto" w:sz="4" w:space="0"/>
                    <w:right w:val="single" w:color="auto" w:sz="4" w:space="0"/>
                  </w:tcBorders>
                  <w:vAlign w:val="center"/>
                </w:tcPr>
                <w:p w14:paraId="21727F0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2199" w:type="dxa"/>
                  <w:tcBorders>
                    <w:top w:val="single" w:color="auto" w:sz="4" w:space="0"/>
                    <w:left w:val="single" w:color="auto" w:sz="4" w:space="0"/>
                    <w:bottom w:val="single" w:color="auto" w:sz="4" w:space="0"/>
                  </w:tcBorders>
                  <w:vAlign w:val="center"/>
                </w:tcPr>
                <w:p w14:paraId="6C98288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002</w:t>
                  </w:r>
                  <w:r>
                    <w:rPr>
                      <w:rFonts w:hint="default" w:ascii="Times New Roman" w:hAnsi="Times New Roman" w:cs="Times New Roman"/>
                      <w:b w:val="0"/>
                      <w:bCs w:val="0"/>
                      <w:color w:val="auto"/>
                      <w:sz w:val="21"/>
                      <w:szCs w:val="21"/>
                      <w:highlight w:val="none"/>
                    </w:rPr>
                    <w:t>/a</w:t>
                  </w:r>
                </w:p>
              </w:tc>
            </w:tr>
            <w:tr w14:paraId="4177B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right w:val="single" w:color="auto" w:sz="4" w:space="0"/>
                  </w:tcBorders>
                  <w:vAlign w:val="center"/>
                </w:tcPr>
                <w:p w14:paraId="5585F1C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4" w:space="0"/>
                    <w:right w:val="single" w:color="auto" w:sz="4" w:space="0"/>
                  </w:tcBorders>
                  <w:shd w:val="clear" w:color="auto" w:fill="auto"/>
                  <w:vAlign w:val="center"/>
                </w:tcPr>
                <w:p w14:paraId="2B3FBE8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二氧化硫</w:t>
                  </w:r>
                </w:p>
              </w:tc>
              <w:tc>
                <w:tcPr>
                  <w:tcW w:w="2100" w:type="dxa"/>
                  <w:tcBorders>
                    <w:top w:val="single" w:color="auto" w:sz="4" w:space="0"/>
                    <w:left w:val="single" w:color="auto" w:sz="4" w:space="0"/>
                    <w:bottom w:val="single" w:color="auto" w:sz="4" w:space="0"/>
                    <w:right w:val="single" w:color="auto" w:sz="4" w:space="0"/>
                  </w:tcBorders>
                  <w:vAlign w:val="center"/>
                </w:tcPr>
                <w:p w14:paraId="31BD11E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2199" w:type="dxa"/>
                  <w:tcBorders>
                    <w:top w:val="single" w:color="auto" w:sz="4" w:space="0"/>
                    <w:left w:val="single" w:color="auto" w:sz="4" w:space="0"/>
                    <w:bottom w:val="single" w:color="auto" w:sz="4" w:space="0"/>
                  </w:tcBorders>
                  <w:vAlign w:val="center"/>
                </w:tcPr>
                <w:p w14:paraId="7D9AE5C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0.408</w:t>
                  </w:r>
                  <w:r>
                    <w:rPr>
                      <w:rFonts w:hint="default" w:ascii="Times New Roman" w:hAnsi="Times New Roman" w:cs="Times New Roman"/>
                      <w:b w:val="0"/>
                      <w:bCs w:val="0"/>
                      <w:color w:val="auto"/>
                      <w:sz w:val="21"/>
                      <w:szCs w:val="21"/>
                      <w:highlight w:val="none"/>
                    </w:rPr>
                    <w:t>t/a</w:t>
                  </w:r>
                </w:p>
              </w:tc>
            </w:tr>
            <w:tr w14:paraId="7EAA3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Merge w:val="continue"/>
                  <w:tcBorders>
                    <w:bottom w:val="single" w:color="auto" w:sz="12" w:space="0"/>
                    <w:right w:val="single" w:color="auto" w:sz="4" w:space="0"/>
                  </w:tcBorders>
                  <w:vAlign w:val="center"/>
                </w:tcPr>
                <w:p w14:paraId="24393EE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rPr>
                  </w:pPr>
                </w:p>
              </w:tc>
              <w:tc>
                <w:tcPr>
                  <w:tcW w:w="1952" w:type="dxa"/>
                  <w:tcBorders>
                    <w:top w:val="single" w:color="auto" w:sz="4" w:space="0"/>
                    <w:bottom w:val="single" w:color="auto" w:sz="12" w:space="0"/>
                    <w:right w:val="single" w:color="auto" w:sz="4" w:space="0"/>
                  </w:tcBorders>
                  <w:shd w:val="clear" w:color="auto" w:fill="auto"/>
                  <w:vAlign w:val="center"/>
                </w:tcPr>
                <w:p w14:paraId="7202362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氮氧化物</w:t>
                  </w:r>
                </w:p>
              </w:tc>
              <w:tc>
                <w:tcPr>
                  <w:tcW w:w="2100" w:type="dxa"/>
                  <w:tcBorders>
                    <w:top w:val="single" w:color="auto" w:sz="4" w:space="0"/>
                    <w:left w:val="single" w:color="auto" w:sz="4" w:space="0"/>
                    <w:bottom w:val="single" w:color="auto" w:sz="12" w:space="0"/>
                    <w:right w:val="single" w:color="auto" w:sz="4" w:space="0"/>
                  </w:tcBorders>
                  <w:vAlign w:val="center"/>
                </w:tcPr>
                <w:p w14:paraId="776E412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2199" w:type="dxa"/>
                  <w:tcBorders>
                    <w:top w:val="single" w:color="auto" w:sz="4" w:space="0"/>
                    <w:left w:val="single" w:color="auto" w:sz="4" w:space="0"/>
                    <w:bottom w:val="single" w:color="auto" w:sz="12" w:space="0"/>
                  </w:tcBorders>
                  <w:vAlign w:val="center"/>
                </w:tcPr>
                <w:p w14:paraId="371DC3D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2.856</w:t>
                  </w:r>
                  <w:r>
                    <w:rPr>
                      <w:rFonts w:hint="default" w:ascii="Times New Roman" w:hAnsi="Times New Roman" w:cs="Times New Roman"/>
                      <w:b w:val="0"/>
                      <w:bCs w:val="0"/>
                      <w:color w:val="auto"/>
                      <w:sz w:val="21"/>
                      <w:szCs w:val="21"/>
                      <w:highlight w:val="none"/>
                    </w:rPr>
                    <w:t>t/a</w:t>
                  </w:r>
                </w:p>
              </w:tc>
            </w:tr>
          </w:tbl>
          <w:p w14:paraId="62BC1813">
            <w:pPr>
              <w:spacing w:line="360" w:lineRule="auto"/>
              <w:rPr>
                <w:rFonts w:hint="default" w:ascii="Times New Roman" w:hAnsi="Times New Roman" w:cs="Times New Roman"/>
                <w:b/>
                <w:bCs/>
                <w:color w:val="auto"/>
                <w:sz w:val="24"/>
                <w:szCs w:val="24"/>
                <w:highlight w:val="none"/>
                <w:lang w:val="en-US" w:eastAsia="zh-CN"/>
              </w:rPr>
            </w:pPr>
          </w:p>
          <w:p w14:paraId="1D286DF3">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1.2</w:t>
            </w:r>
            <w:r>
              <w:rPr>
                <w:rFonts w:hint="default" w:ascii="Times New Roman" w:hAnsi="Times New Roman" w:cs="Times New Roman"/>
                <w:b/>
                <w:bCs/>
                <w:color w:val="auto"/>
                <w:sz w:val="24"/>
                <w:szCs w:val="24"/>
                <w:highlight w:val="none"/>
                <w:lang w:val="en-US" w:eastAsia="zh-CN"/>
              </w:rPr>
              <w:t xml:space="preserve"> </w:t>
            </w:r>
            <w:bookmarkStart w:id="22" w:name="hmcheck_bce2315a5fc0421193b514878f8a8837"/>
            <w:r>
              <w:rPr>
                <w:rFonts w:hint="default" w:ascii="Times New Roman" w:hAnsi="Times New Roman" w:cs="Times New Roman"/>
                <w:b/>
                <w:bCs/>
                <w:color w:val="auto"/>
                <w:sz w:val="24"/>
                <w:szCs w:val="24"/>
                <w:highlight w:val="none"/>
              </w:rPr>
              <w:t>湿</w:t>
            </w:r>
            <w:bookmarkEnd w:id="22"/>
            <w:r>
              <w:rPr>
                <w:rFonts w:hint="default" w:ascii="Times New Roman" w:hAnsi="Times New Roman" w:cs="Times New Roman"/>
                <w:b/>
                <w:bCs/>
                <w:color w:val="auto"/>
                <w:sz w:val="24"/>
                <w:szCs w:val="24"/>
                <w:highlight w:val="none"/>
              </w:rPr>
              <w:t>料筛选</w:t>
            </w:r>
          </w:p>
          <w:p w14:paraId="2B10671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w:t>
            </w:r>
            <w:bookmarkStart w:id="23" w:name="hmcheck_99548f3f10f64d588c4354432d198aaf"/>
            <w:r>
              <w:rPr>
                <w:rFonts w:hint="default" w:ascii="Times New Roman" w:hAnsi="Times New Roman" w:cs="Times New Roman"/>
                <w:color w:val="auto"/>
                <w:sz w:val="24"/>
                <w:szCs w:val="24"/>
                <w:highlight w:val="none"/>
              </w:rPr>
              <w:t>湿料</w:t>
            </w:r>
            <w:bookmarkEnd w:id="23"/>
            <w:r>
              <w:rPr>
                <w:rFonts w:hint="default" w:ascii="Times New Roman" w:hAnsi="Times New Roman" w:cs="Times New Roman"/>
                <w:color w:val="auto"/>
                <w:sz w:val="24"/>
                <w:szCs w:val="24"/>
                <w:highlight w:val="none"/>
              </w:rPr>
              <w:t>上料及筛选过程会产生一定量的颗粒物，</w:t>
            </w:r>
            <w:r>
              <w:rPr>
                <w:rFonts w:hint="default" w:ascii="Times New Roman" w:hAnsi="Times New Roman" w:cs="Times New Roman"/>
                <w:color w:val="auto"/>
                <w:sz w:val="24"/>
                <w:szCs w:val="24"/>
                <w:highlight w:val="none"/>
                <w:lang w:val="en-US" w:eastAsia="zh-CN"/>
              </w:rPr>
              <w:t>根据</w:t>
            </w:r>
            <w:r>
              <w:rPr>
                <w:rFonts w:hint="default" w:ascii="Times New Roman" w:hAnsi="Times New Roman" w:cs="Times New Roman"/>
                <w:color w:val="auto"/>
                <w:sz w:val="24"/>
                <w:highlight w:val="none"/>
                <w:lang w:val="en-US" w:eastAsia="zh-CN"/>
              </w:rPr>
              <w:t>《农产品初加工活动（粮食烘干）系数手册》可知</w:t>
            </w:r>
            <w:r>
              <w:rPr>
                <w:rFonts w:hint="default" w:ascii="Times New Roman" w:hAnsi="Times New Roman" w:cs="Times New Roman"/>
                <w:color w:val="auto"/>
                <w:sz w:val="24"/>
                <w:szCs w:val="24"/>
                <w:highlight w:val="none"/>
              </w:rPr>
              <w:t>，其</w:t>
            </w:r>
            <w:bookmarkStart w:id="24" w:name="hmcheck_2531828fb8604c89a39a4d9e8530f7aa"/>
            <w:r>
              <w:rPr>
                <w:rFonts w:hint="default" w:ascii="Times New Roman" w:hAnsi="Times New Roman" w:cs="Times New Roman"/>
                <w:color w:val="auto"/>
                <w:sz w:val="24"/>
                <w:szCs w:val="24"/>
                <w:highlight w:val="none"/>
              </w:rPr>
              <w:t>湿</w:t>
            </w:r>
            <w:bookmarkEnd w:id="24"/>
            <w:r>
              <w:rPr>
                <w:rFonts w:hint="default" w:ascii="Times New Roman" w:hAnsi="Times New Roman" w:cs="Times New Roman"/>
                <w:color w:val="auto"/>
                <w:sz w:val="24"/>
                <w:szCs w:val="24"/>
                <w:highlight w:val="none"/>
              </w:rPr>
              <w:t>料颗粒物的产生量为</w:t>
            </w:r>
            <w:bookmarkStart w:id="25" w:name="hmcheck_fd7790a7a879427297c4a9c74ad965e2"/>
            <w:r>
              <w:rPr>
                <w:rFonts w:hint="default" w:ascii="Times New Roman" w:hAnsi="Times New Roman" w:cs="Times New Roman"/>
                <w:color w:val="auto"/>
                <w:sz w:val="24"/>
                <w:szCs w:val="24"/>
                <w:highlight w:val="none"/>
              </w:rPr>
              <w:t>湿</w:t>
            </w:r>
            <w:bookmarkEnd w:id="25"/>
            <w:r>
              <w:rPr>
                <w:rFonts w:hint="default" w:ascii="Times New Roman" w:hAnsi="Times New Roman" w:cs="Times New Roman"/>
                <w:color w:val="auto"/>
                <w:sz w:val="24"/>
                <w:szCs w:val="24"/>
                <w:highlight w:val="none"/>
              </w:rPr>
              <w:t>料</w:t>
            </w:r>
            <w:r>
              <w:rPr>
                <w:rFonts w:hint="default" w:ascii="Times New Roman" w:hAnsi="Times New Roman" w:cs="Times New Roman"/>
                <w:color w:val="auto"/>
                <w:sz w:val="24"/>
                <w:szCs w:val="24"/>
                <w:highlight w:val="none"/>
                <w:lang w:val="en-US" w:eastAsia="zh-CN"/>
              </w:rPr>
              <w:t>中</w:t>
            </w:r>
            <w:r>
              <w:rPr>
                <w:rFonts w:hint="default" w:ascii="Times New Roman" w:hAnsi="Times New Roman" w:cs="Times New Roman"/>
                <w:color w:val="auto"/>
                <w:sz w:val="24"/>
                <w:szCs w:val="24"/>
                <w:highlight w:val="none"/>
              </w:rPr>
              <w:t>杂质量的1%，</w:t>
            </w:r>
            <w:bookmarkStart w:id="26" w:name="hmcheck_5e354a12034e4a359d958b1f806398a1"/>
            <w:r>
              <w:rPr>
                <w:rFonts w:hint="default" w:ascii="Times New Roman" w:hAnsi="Times New Roman" w:cs="Times New Roman"/>
                <w:color w:val="auto"/>
                <w:sz w:val="24"/>
                <w:szCs w:val="24"/>
                <w:highlight w:val="none"/>
              </w:rPr>
              <w:t>湿</w:t>
            </w:r>
            <w:bookmarkEnd w:id="26"/>
            <w:r>
              <w:rPr>
                <w:rFonts w:hint="default" w:ascii="Times New Roman" w:hAnsi="Times New Roman" w:cs="Times New Roman"/>
                <w:color w:val="auto"/>
                <w:sz w:val="24"/>
                <w:szCs w:val="24"/>
                <w:highlight w:val="none"/>
              </w:rPr>
              <w:t>料中杂质的含量为0.1%。本项目</w:t>
            </w:r>
            <w:r>
              <w:rPr>
                <w:rFonts w:hint="default" w:ascii="Times New Roman" w:hAnsi="Times New Roman" w:cs="Times New Roman"/>
                <w:color w:val="auto"/>
                <w:sz w:val="24"/>
                <w:szCs w:val="24"/>
                <w:highlight w:val="none"/>
                <w:lang w:val="en-US" w:eastAsia="zh-CN"/>
              </w:rPr>
              <w:t>湿料为12万</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则上料及筛选工段产生的颗粒物的量为</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t/a，这部分粉尘通过控制落差，封闭式筛分等措施，能减少其排放量的90%，则最终</w:t>
            </w:r>
            <w:bookmarkStart w:id="27" w:name="hmcheck_92d8fa7723d94311b0ea3deff7c0c6ce"/>
            <w:r>
              <w:rPr>
                <w:rFonts w:hint="default" w:ascii="Times New Roman" w:hAnsi="Times New Roman" w:cs="Times New Roman"/>
                <w:color w:val="auto"/>
                <w:sz w:val="24"/>
                <w:szCs w:val="24"/>
                <w:highlight w:val="none"/>
              </w:rPr>
              <w:t>湿</w:t>
            </w:r>
            <w:bookmarkEnd w:id="27"/>
            <w:r>
              <w:rPr>
                <w:rFonts w:hint="default" w:ascii="Times New Roman" w:hAnsi="Times New Roman" w:cs="Times New Roman"/>
                <w:color w:val="auto"/>
                <w:sz w:val="24"/>
                <w:szCs w:val="24"/>
                <w:highlight w:val="none"/>
              </w:rPr>
              <w:t>料筛选产生的无组织颗粒物的量为0.</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t/a。</w:t>
            </w:r>
          </w:p>
          <w:p w14:paraId="4CB3B7CF">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1.3</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烘干塔起尘</w:t>
            </w:r>
          </w:p>
          <w:p w14:paraId="40D11DC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本项目烘干塔采用过滤网整体封闭，杜绝了玉米烘干过程产生的红衣碎屑的外排</w:t>
            </w:r>
            <w:r>
              <w:rPr>
                <w:rFonts w:hint="default" w:ascii="Times New Roman" w:hAnsi="Times New Roman" w:eastAsia="宋体" w:cs="Times New Roman"/>
                <w:color w:val="auto"/>
                <w:sz w:val="24"/>
                <w:highlight w:val="none"/>
                <w:lang w:val="en-US" w:eastAsia="zh-CN"/>
              </w:rPr>
              <w:t>，红衣自然沉降到底部，全部收集暂存后</w:t>
            </w:r>
            <w:bookmarkStart w:id="28" w:name="hmcheck_744f995f9bd5463391b2b70ae3834aaa"/>
            <w:r>
              <w:rPr>
                <w:rFonts w:hint="default" w:ascii="Times New Roman" w:hAnsi="Times New Roman" w:eastAsia="宋体" w:cs="Times New Roman"/>
                <w:color w:val="auto"/>
                <w:sz w:val="24"/>
                <w:highlight w:val="none"/>
                <w:lang w:val="en-US" w:eastAsia="zh-CN"/>
              </w:rPr>
              <w:t>外售</w:t>
            </w:r>
            <w:bookmarkEnd w:id="28"/>
            <w:r>
              <w:rPr>
                <w:rFonts w:hint="default" w:ascii="Times New Roman" w:hAnsi="Times New Roman" w:eastAsia="宋体" w:cs="Times New Roman"/>
                <w:color w:val="auto"/>
                <w:sz w:val="24"/>
                <w:highlight w:val="none"/>
                <w:lang w:val="en-US" w:eastAsia="zh-CN"/>
              </w:rPr>
              <w:t>。烘干塔内需对</w:t>
            </w:r>
            <w:bookmarkStart w:id="29" w:name="hmcheck_d3bb5fefb2024c21bc1010aa85e6982e"/>
            <w:r>
              <w:rPr>
                <w:rFonts w:hint="default" w:ascii="Times New Roman" w:hAnsi="Times New Roman" w:eastAsia="宋体" w:cs="Times New Roman"/>
                <w:color w:val="auto"/>
                <w:sz w:val="24"/>
                <w:highlight w:val="none"/>
                <w:lang w:val="en-US" w:eastAsia="zh-CN"/>
              </w:rPr>
              <w:t>干</w:t>
            </w:r>
            <w:bookmarkEnd w:id="29"/>
            <w:r>
              <w:rPr>
                <w:rFonts w:hint="default" w:ascii="Times New Roman" w:hAnsi="Times New Roman" w:eastAsia="宋体" w:cs="Times New Roman"/>
                <w:color w:val="auto"/>
                <w:sz w:val="24"/>
                <w:highlight w:val="none"/>
                <w:lang w:val="en-US" w:eastAsia="zh-CN"/>
              </w:rPr>
              <w:t>料进行二次筛选，根据《玉米干燥技术规范》（GB/T21017-2007）中要求干燥后玉米中杂质含量必须≤1.0%（</w:t>
            </w:r>
            <w:bookmarkStart w:id="30" w:name="hmcheck_c2a51c2771294017b268c363882238e8"/>
            <w:r>
              <w:rPr>
                <w:rFonts w:hint="default" w:ascii="Times New Roman" w:hAnsi="Times New Roman" w:eastAsia="宋体" w:cs="Times New Roman"/>
                <w:color w:val="auto"/>
                <w:sz w:val="24"/>
                <w:highlight w:val="none"/>
                <w:lang w:val="en-US" w:eastAsia="zh-CN"/>
              </w:rPr>
              <w:t>本</w:t>
            </w:r>
            <w:bookmarkEnd w:id="30"/>
            <w:r>
              <w:rPr>
                <w:rFonts w:hint="default" w:ascii="Times New Roman" w:hAnsi="Times New Roman" w:eastAsia="宋体" w:cs="Times New Roman"/>
                <w:color w:val="auto"/>
                <w:sz w:val="24"/>
                <w:highlight w:val="none"/>
                <w:lang w:val="en-US" w:eastAsia="zh-CN"/>
              </w:rPr>
              <w:t>环评</w:t>
            </w:r>
            <w:bookmarkStart w:id="31" w:name="hmcheck_89cc973a88b94a699a9a68a4e4866a49"/>
            <w:r>
              <w:rPr>
                <w:rFonts w:hint="default" w:ascii="Times New Roman" w:hAnsi="Times New Roman" w:eastAsia="宋体" w:cs="Times New Roman"/>
                <w:color w:val="auto"/>
                <w:sz w:val="24"/>
                <w:highlight w:val="none"/>
                <w:lang w:val="en-US" w:eastAsia="zh-CN"/>
              </w:rPr>
              <w:t>取</w:t>
            </w:r>
            <w:bookmarkEnd w:id="31"/>
            <w:r>
              <w:rPr>
                <w:rFonts w:hint="default" w:ascii="Times New Roman" w:hAnsi="Times New Roman" w:eastAsia="宋体" w:cs="Times New Roman"/>
                <w:color w:val="auto"/>
                <w:sz w:val="24"/>
                <w:highlight w:val="none"/>
                <w:lang w:val="en-US" w:eastAsia="zh-CN"/>
              </w:rPr>
              <w:t>1%计），参考《农产品初加工活动（粮食烘干）系数手册》，烘干系统产生粉尘量约占烘干总量的0.5‰，本项目玉米为</w:t>
            </w:r>
            <w:r>
              <w:rPr>
                <w:rFonts w:hint="default" w:ascii="Times New Roman" w:hAnsi="Times New Roman" w:cs="Times New Roman"/>
                <w:color w:val="auto"/>
                <w:sz w:val="24"/>
                <w:szCs w:val="24"/>
                <w:highlight w:val="none"/>
                <w:lang w:val="en-US" w:eastAsia="zh-CN"/>
              </w:rPr>
              <w:t>12万</w:t>
            </w:r>
            <w:r>
              <w:rPr>
                <w:rFonts w:hint="default" w:ascii="Times New Roman" w:hAnsi="Times New Roman" w:cs="Times New Roman"/>
                <w:color w:val="auto"/>
                <w:sz w:val="24"/>
                <w:szCs w:val="24"/>
                <w:highlight w:val="none"/>
              </w:rPr>
              <w:t>t/a</w:t>
            </w:r>
            <w:r>
              <w:rPr>
                <w:rFonts w:hint="default" w:ascii="Times New Roman" w:hAnsi="Times New Roman" w:eastAsia="宋体" w:cs="Times New Roman"/>
                <w:color w:val="auto"/>
                <w:sz w:val="24"/>
                <w:highlight w:val="none"/>
                <w:lang w:val="en-US" w:eastAsia="zh-CN"/>
              </w:rPr>
              <w:t>，</w:t>
            </w:r>
            <w:bookmarkStart w:id="32" w:name="hmcheck_728834abe7c240d19b820070f61692ae"/>
            <w:r>
              <w:rPr>
                <w:rFonts w:hint="default" w:ascii="Times New Roman" w:hAnsi="Times New Roman" w:eastAsia="宋体" w:cs="Times New Roman"/>
                <w:color w:val="auto"/>
                <w:sz w:val="24"/>
                <w:highlight w:val="none"/>
                <w:lang w:val="en-US" w:eastAsia="zh-CN"/>
              </w:rPr>
              <w:t>故</w:t>
            </w:r>
            <w:bookmarkEnd w:id="32"/>
            <w:r>
              <w:rPr>
                <w:rFonts w:hint="default" w:ascii="Times New Roman" w:hAnsi="Times New Roman" w:eastAsia="宋体" w:cs="Times New Roman"/>
                <w:color w:val="auto"/>
                <w:sz w:val="24"/>
                <w:highlight w:val="none"/>
                <w:lang w:val="en-US" w:eastAsia="zh-CN"/>
              </w:rPr>
              <w:t>烘干起尘量约为60t/a。建设单位在烘干塔上部排气孔处设置自吸式布袋除尘器，烘干塔配套的过滤网封闭+布袋除尘器的净化效率以95%计，则可知，最终烘干塔外排的颗粒物量为3t/a，这部分颗粒物以无组织的形式逸散至项目区大气环</w:t>
            </w:r>
            <w:r>
              <w:rPr>
                <w:rFonts w:hint="default" w:ascii="Times New Roman" w:hAnsi="Times New Roman" w:cs="Times New Roman"/>
                <w:color w:val="auto"/>
                <w:sz w:val="24"/>
                <w:szCs w:val="24"/>
                <w:highlight w:val="none"/>
              </w:rPr>
              <w:t>境中。</w:t>
            </w:r>
          </w:p>
          <w:p w14:paraId="612C05C6">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1.4</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灰渣</w:t>
            </w:r>
            <w:bookmarkStart w:id="33" w:name="hmcheck_dbd0960ec1954d6794d0c71ff98e712f"/>
            <w:r>
              <w:rPr>
                <w:rFonts w:hint="default" w:ascii="Times New Roman" w:hAnsi="Times New Roman" w:cs="Times New Roman"/>
                <w:b/>
                <w:bCs/>
                <w:color w:val="auto"/>
                <w:sz w:val="24"/>
                <w:szCs w:val="24"/>
                <w:highlight w:val="none"/>
              </w:rPr>
              <w:t>库</w:t>
            </w:r>
            <w:bookmarkEnd w:id="33"/>
            <w:r>
              <w:rPr>
                <w:rFonts w:hint="default" w:ascii="Times New Roman" w:hAnsi="Times New Roman" w:cs="Times New Roman"/>
                <w:b/>
                <w:bCs/>
                <w:color w:val="auto"/>
                <w:sz w:val="24"/>
                <w:szCs w:val="24"/>
                <w:highlight w:val="none"/>
              </w:rPr>
              <w:t>及</w:t>
            </w:r>
            <w:r>
              <w:rPr>
                <w:rFonts w:hint="default" w:ascii="Times New Roman" w:hAnsi="Times New Roman" w:cs="Times New Roman"/>
                <w:b/>
                <w:bCs/>
                <w:color w:val="auto"/>
                <w:sz w:val="24"/>
                <w:szCs w:val="24"/>
                <w:highlight w:val="none"/>
                <w:lang w:val="en-US" w:eastAsia="zh-CN"/>
              </w:rPr>
              <w:t>生物质燃料仓库</w:t>
            </w:r>
            <w:r>
              <w:rPr>
                <w:rFonts w:hint="default" w:ascii="Times New Roman" w:hAnsi="Times New Roman" w:cs="Times New Roman"/>
                <w:b/>
                <w:bCs/>
                <w:color w:val="auto"/>
                <w:sz w:val="24"/>
                <w:szCs w:val="24"/>
                <w:highlight w:val="none"/>
              </w:rPr>
              <w:t>起尘</w:t>
            </w:r>
          </w:p>
          <w:p w14:paraId="0A28725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本项目炉渣进入炉渣池降温后，灰渣为含水率较高的灰渣</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收集在封闭的塑料袋内，然后</w:t>
            </w:r>
            <w:r>
              <w:rPr>
                <w:rFonts w:hint="default" w:ascii="Times New Roman" w:hAnsi="Times New Roman" w:cs="Times New Roman"/>
                <w:color w:val="auto"/>
                <w:sz w:val="24"/>
                <w:szCs w:val="24"/>
                <w:highlight w:val="none"/>
              </w:rPr>
              <w:t>在灰渣库内暂存，</w:t>
            </w:r>
            <w:r>
              <w:rPr>
                <w:rFonts w:hint="default" w:ascii="Times New Roman" w:hAnsi="Times New Roman" w:cs="Times New Roman"/>
                <w:color w:val="auto"/>
                <w:sz w:val="24"/>
                <w:szCs w:val="24"/>
                <w:highlight w:val="none"/>
                <w:lang w:val="en-US" w:eastAsia="zh-CN"/>
              </w:rPr>
              <w:t>贮存过程</w:t>
            </w:r>
            <w:r>
              <w:rPr>
                <w:rFonts w:hint="default" w:ascii="Times New Roman" w:hAnsi="Times New Roman" w:cs="Times New Roman"/>
                <w:color w:val="auto"/>
                <w:sz w:val="24"/>
                <w:szCs w:val="24"/>
                <w:highlight w:val="none"/>
              </w:rPr>
              <w:t>基本无粉尘产生。灰渣</w:t>
            </w:r>
            <w:bookmarkStart w:id="34" w:name="hmcheck_14f130bc39014446b10072dde1c572b0"/>
            <w:r>
              <w:rPr>
                <w:rFonts w:hint="default" w:ascii="Times New Roman" w:hAnsi="Times New Roman" w:cs="Times New Roman"/>
                <w:color w:val="auto"/>
                <w:sz w:val="24"/>
                <w:szCs w:val="24"/>
                <w:highlight w:val="none"/>
              </w:rPr>
              <w:t>库</w:t>
            </w:r>
            <w:bookmarkEnd w:id="34"/>
            <w:r>
              <w:rPr>
                <w:rFonts w:hint="default" w:ascii="Times New Roman" w:hAnsi="Times New Roman" w:cs="Times New Roman"/>
                <w:color w:val="auto"/>
                <w:sz w:val="24"/>
                <w:szCs w:val="24"/>
                <w:highlight w:val="none"/>
              </w:rPr>
              <w:t>及</w:t>
            </w:r>
            <w:r>
              <w:rPr>
                <w:rFonts w:hint="default" w:ascii="Times New Roman" w:hAnsi="Times New Roman" w:cs="Times New Roman"/>
                <w:color w:val="auto"/>
                <w:sz w:val="24"/>
                <w:szCs w:val="24"/>
                <w:highlight w:val="none"/>
                <w:lang w:val="en-US" w:eastAsia="zh-CN"/>
              </w:rPr>
              <w:t>生物质燃料</w:t>
            </w:r>
            <w:bookmarkStart w:id="35" w:name="hmcheck_8f49e3b75f2f4de3874413b99d32cc1c"/>
            <w:r>
              <w:rPr>
                <w:rFonts w:hint="default" w:ascii="Times New Roman" w:hAnsi="Times New Roman" w:cs="Times New Roman"/>
                <w:color w:val="auto"/>
                <w:sz w:val="24"/>
                <w:szCs w:val="24"/>
                <w:highlight w:val="none"/>
                <w:lang w:val="en-US" w:eastAsia="zh-CN"/>
              </w:rPr>
              <w:t>仓</w:t>
            </w:r>
            <w:bookmarkEnd w:id="35"/>
            <w:r>
              <w:rPr>
                <w:rFonts w:hint="default" w:ascii="Times New Roman" w:hAnsi="Times New Roman" w:cs="Times New Roman"/>
                <w:color w:val="auto"/>
                <w:sz w:val="24"/>
                <w:szCs w:val="24"/>
                <w:highlight w:val="none"/>
              </w:rPr>
              <w:t>均为全封闭式，</w:t>
            </w:r>
            <w:r>
              <w:rPr>
                <w:rFonts w:hint="default" w:ascii="Times New Roman" w:hAnsi="Times New Roman" w:cs="Times New Roman"/>
                <w:color w:val="auto"/>
                <w:sz w:val="24"/>
                <w:szCs w:val="24"/>
                <w:highlight w:val="none"/>
                <w:lang w:val="en-US" w:eastAsia="zh-CN"/>
              </w:rPr>
              <w:t>生物质燃料堆存</w:t>
            </w:r>
            <w:r>
              <w:rPr>
                <w:rFonts w:hint="default" w:ascii="Times New Roman" w:hAnsi="Times New Roman" w:cs="Times New Roman"/>
                <w:color w:val="auto"/>
                <w:sz w:val="24"/>
                <w:szCs w:val="24"/>
                <w:highlight w:val="none"/>
              </w:rPr>
              <w:t>起</w:t>
            </w:r>
            <w:bookmarkStart w:id="36" w:name="hmcheck_ada08c3aad9941c88ca324499d9f3e69"/>
            <w:r>
              <w:rPr>
                <w:rFonts w:hint="default" w:ascii="Times New Roman" w:hAnsi="Times New Roman" w:cs="Times New Roman"/>
                <w:color w:val="auto"/>
                <w:sz w:val="24"/>
                <w:szCs w:val="24"/>
                <w:highlight w:val="none"/>
              </w:rPr>
              <w:t>尘</w:t>
            </w:r>
            <w:bookmarkEnd w:id="36"/>
            <w:r>
              <w:rPr>
                <w:rFonts w:hint="default" w:ascii="Times New Roman" w:hAnsi="Times New Roman" w:cs="Times New Roman"/>
                <w:color w:val="auto"/>
                <w:sz w:val="24"/>
                <w:szCs w:val="24"/>
                <w:highlight w:val="none"/>
              </w:rPr>
              <w:t>分为两大类：一类是堆场表面的静态起</w:t>
            </w:r>
            <w:bookmarkStart w:id="37" w:name="hmcheck_0c346c400adf46ca9ba2cbda50f39908"/>
            <w:r>
              <w:rPr>
                <w:rFonts w:hint="default" w:ascii="Times New Roman" w:hAnsi="Times New Roman" w:cs="Times New Roman"/>
                <w:color w:val="auto"/>
                <w:sz w:val="24"/>
                <w:szCs w:val="24"/>
                <w:highlight w:val="none"/>
              </w:rPr>
              <w:t>尘</w:t>
            </w:r>
            <w:bookmarkEnd w:id="37"/>
            <w:r>
              <w:rPr>
                <w:rFonts w:hint="default" w:ascii="Times New Roman" w:hAnsi="Times New Roman" w:cs="Times New Roman"/>
                <w:color w:val="auto"/>
                <w:sz w:val="24"/>
                <w:szCs w:val="24"/>
                <w:highlight w:val="none"/>
              </w:rPr>
              <w:t>；另一类是在装卸料等过程中的动态起</w:t>
            </w:r>
            <w:bookmarkStart w:id="38" w:name="hmcheck_45e1187115694f4a8a9419671e99c910"/>
            <w:r>
              <w:rPr>
                <w:rFonts w:hint="default" w:ascii="Times New Roman" w:hAnsi="Times New Roman" w:cs="Times New Roman"/>
                <w:color w:val="auto"/>
                <w:sz w:val="24"/>
                <w:szCs w:val="24"/>
                <w:highlight w:val="none"/>
              </w:rPr>
              <w:t>尘</w:t>
            </w:r>
            <w:bookmarkEnd w:id="38"/>
            <w:r>
              <w:rPr>
                <w:rFonts w:hint="default" w:ascii="Times New Roman" w:hAnsi="Times New Roman" w:cs="Times New Roman"/>
                <w:color w:val="auto"/>
                <w:sz w:val="24"/>
                <w:szCs w:val="24"/>
                <w:highlight w:val="none"/>
              </w:rPr>
              <w:t>。前者主要与物料表面含水率、环境风速等关系密切，后者主要与作业落差、装卸强度等相关联。对于散料堆场，只有在外界风速达到一定强度，该风力使料堆表面颗粒产生向上迁移的动力足以克服颗粒自身重力和颗粒之间的摩擦力以及其他阻碍颗粒迁移的外力时，颗粒就离开堆垛表面而扬起，此时的风速就称为起动风速，一般认为启动风速处于3.8～6m/s。本项目采取全封闭式</w:t>
            </w:r>
            <w:r>
              <w:rPr>
                <w:rFonts w:hint="default" w:ascii="Times New Roman" w:hAnsi="Times New Roman" w:cs="Times New Roman"/>
                <w:color w:val="auto"/>
                <w:sz w:val="24"/>
                <w:szCs w:val="24"/>
                <w:highlight w:val="none"/>
                <w:lang w:val="en-US" w:eastAsia="zh-CN"/>
              </w:rPr>
              <w:t>生物质燃料仓库</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生物质燃料仓库</w:t>
            </w:r>
            <w:r>
              <w:rPr>
                <w:rFonts w:hint="default" w:ascii="Times New Roman" w:hAnsi="Times New Roman" w:cs="Times New Roman"/>
                <w:color w:val="auto"/>
                <w:sz w:val="24"/>
                <w:szCs w:val="24"/>
                <w:highlight w:val="none"/>
              </w:rPr>
              <w:t>内风速无法达到启动风速，故认为</w:t>
            </w:r>
            <w:r>
              <w:rPr>
                <w:rFonts w:hint="default" w:ascii="Times New Roman" w:hAnsi="Times New Roman" w:cs="Times New Roman"/>
                <w:color w:val="auto"/>
                <w:sz w:val="24"/>
                <w:szCs w:val="24"/>
                <w:highlight w:val="none"/>
                <w:lang w:val="en-US" w:eastAsia="zh-CN"/>
              </w:rPr>
              <w:t>生物质燃料</w:t>
            </w:r>
            <w:r>
              <w:rPr>
                <w:rFonts w:hint="default" w:ascii="Times New Roman" w:hAnsi="Times New Roman" w:cs="Times New Roman"/>
                <w:color w:val="auto"/>
                <w:sz w:val="24"/>
                <w:szCs w:val="24"/>
                <w:highlight w:val="none"/>
              </w:rPr>
              <w:t>在</w:t>
            </w:r>
            <w:r>
              <w:rPr>
                <w:rFonts w:hint="default" w:ascii="Times New Roman" w:hAnsi="Times New Roman" w:cs="Times New Roman"/>
                <w:color w:val="auto"/>
                <w:sz w:val="24"/>
                <w:szCs w:val="24"/>
                <w:highlight w:val="none"/>
                <w:lang w:val="en-US" w:eastAsia="zh-CN"/>
              </w:rPr>
              <w:t>仓库</w:t>
            </w:r>
            <w:r>
              <w:rPr>
                <w:rFonts w:hint="default" w:ascii="Times New Roman" w:hAnsi="Times New Roman" w:cs="Times New Roman"/>
                <w:color w:val="auto"/>
                <w:sz w:val="24"/>
                <w:szCs w:val="24"/>
                <w:highlight w:val="none"/>
              </w:rPr>
              <w:t>内暂存过程</w:t>
            </w:r>
            <w:bookmarkStart w:id="39" w:name="hmcheck_7c5c9bcb30f049089746c30d846fc53a"/>
            <w:r>
              <w:rPr>
                <w:rFonts w:hint="default" w:ascii="Times New Roman" w:hAnsi="Times New Roman" w:cs="Times New Roman"/>
                <w:color w:val="auto"/>
                <w:sz w:val="24"/>
                <w:szCs w:val="24"/>
                <w:highlight w:val="none"/>
              </w:rPr>
              <w:t>无</w:t>
            </w:r>
            <w:bookmarkEnd w:id="39"/>
            <w:r>
              <w:rPr>
                <w:rFonts w:hint="default" w:ascii="Times New Roman" w:hAnsi="Times New Roman" w:cs="Times New Roman"/>
                <w:color w:val="auto"/>
                <w:sz w:val="24"/>
                <w:szCs w:val="24"/>
                <w:highlight w:val="none"/>
              </w:rPr>
              <w:t>静态起</w:t>
            </w:r>
            <w:bookmarkStart w:id="40" w:name="hmcheck_f39c7ed6e4f84c2c93cde76700f559f4"/>
            <w:r>
              <w:rPr>
                <w:rFonts w:hint="default" w:ascii="Times New Roman" w:hAnsi="Times New Roman" w:cs="Times New Roman"/>
                <w:color w:val="auto"/>
                <w:sz w:val="24"/>
                <w:szCs w:val="24"/>
                <w:highlight w:val="none"/>
              </w:rPr>
              <w:t>尘</w:t>
            </w:r>
            <w:bookmarkEnd w:id="40"/>
            <w:r>
              <w:rPr>
                <w:rFonts w:hint="default" w:ascii="Times New Roman" w:hAnsi="Times New Roman" w:cs="Times New Roman"/>
                <w:color w:val="auto"/>
                <w:sz w:val="24"/>
                <w:szCs w:val="24"/>
                <w:highlight w:val="none"/>
              </w:rPr>
              <w:t>。本项目动态起</w:t>
            </w:r>
            <w:bookmarkStart w:id="41" w:name="hmcheck_fdfa1a84d077413ea8f8380d53f70f5a"/>
            <w:r>
              <w:rPr>
                <w:rFonts w:hint="default" w:ascii="Times New Roman" w:hAnsi="Times New Roman" w:cs="Times New Roman"/>
                <w:color w:val="auto"/>
                <w:sz w:val="24"/>
                <w:szCs w:val="24"/>
                <w:highlight w:val="none"/>
              </w:rPr>
              <w:t>尘</w:t>
            </w:r>
            <w:bookmarkEnd w:id="41"/>
            <w:r>
              <w:rPr>
                <w:rFonts w:hint="default" w:ascii="Times New Roman" w:hAnsi="Times New Roman" w:cs="Times New Roman"/>
                <w:color w:val="auto"/>
                <w:sz w:val="24"/>
                <w:szCs w:val="24"/>
                <w:highlight w:val="none"/>
              </w:rPr>
              <w:t>主要产生在</w:t>
            </w:r>
            <w:r>
              <w:rPr>
                <w:rFonts w:hint="default" w:ascii="Times New Roman" w:hAnsi="Times New Roman" w:cs="Times New Roman"/>
                <w:color w:val="auto"/>
                <w:sz w:val="24"/>
                <w:szCs w:val="24"/>
                <w:highlight w:val="none"/>
                <w:lang w:val="en-US" w:eastAsia="zh-CN"/>
              </w:rPr>
              <w:t>生物质燃料</w:t>
            </w:r>
            <w:r>
              <w:rPr>
                <w:rFonts w:hint="default" w:ascii="Times New Roman" w:hAnsi="Times New Roman" w:cs="Times New Roman"/>
                <w:color w:val="auto"/>
                <w:sz w:val="24"/>
                <w:szCs w:val="24"/>
                <w:highlight w:val="none"/>
              </w:rPr>
              <w:t>装卸过程，这部分粉尘短期内存在，且主要产生在</w:t>
            </w:r>
            <w:r>
              <w:rPr>
                <w:rFonts w:hint="default" w:ascii="Times New Roman" w:hAnsi="Times New Roman" w:cs="Times New Roman"/>
                <w:color w:val="auto"/>
                <w:sz w:val="24"/>
                <w:szCs w:val="24"/>
                <w:highlight w:val="none"/>
                <w:lang w:val="en-US" w:eastAsia="zh-CN"/>
              </w:rPr>
              <w:t>生物质燃料仓库</w:t>
            </w:r>
            <w:r>
              <w:rPr>
                <w:rFonts w:hint="default" w:ascii="Times New Roman" w:hAnsi="Times New Roman" w:cs="Times New Roman"/>
                <w:color w:val="auto"/>
                <w:sz w:val="24"/>
                <w:szCs w:val="24"/>
                <w:highlight w:val="none"/>
              </w:rPr>
              <w:t>内部，</w:t>
            </w:r>
            <w:bookmarkStart w:id="42" w:name="hmcheck_c2b4daa004074d3d9a8bbb339f400048"/>
            <w:r>
              <w:rPr>
                <w:rFonts w:hint="default" w:ascii="Times New Roman" w:hAnsi="Times New Roman" w:cs="Times New Roman"/>
                <w:color w:val="auto"/>
                <w:sz w:val="24"/>
                <w:szCs w:val="24"/>
                <w:highlight w:val="none"/>
              </w:rPr>
              <w:t>带</w:t>
            </w:r>
            <w:bookmarkEnd w:id="42"/>
            <w:r>
              <w:rPr>
                <w:rFonts w:hint="default" w:ascii="Times New Roman" w:hAnsi="Times New Roman" w:cs="Times New Roman"/>
                <w:color w:val="auto"/>
                <w:sz w:val="24"/>
                <w:szCs w:val="24"/>
                <w:highlight w:val="none"/>
              </w:rPr>
              <w:t>装卸作业结束后，基本全部沉降在</w:t>
            </w:r>
            <w:r>
              <w:rPr>
                <w:rFonts w:hint="default" w:ascii="Times New Roman" w:hAnsi="Times New Roman" w:cs="Times New Roman"/>
                <w:color w:val="auto"/>
                <w:sz w:val="24"/>
                <w:szCs w:val="24"/>
                <w:highlight w:val="none"/>
                <w:lang w:val="en-US" w:eastAsia="zh-CN"/>
              </w:rPr>
              <w:t>仓库</w:t>
            </w:r>
            <w:r>
              <w:rPr>
                <w:rFonts w:hint="default" w:ascii="Times New Roman" w:hAnsi="Times New Roman" w:cs="Times New Roman"/>
                <w:color w:val="auto"/>
                <w:sz w:val="24"/>
                <w:szCs w:val="24"/>
                <w:highlight w:val="none"/>
              </w:rPr>
              <w:t>内，外排的粉尘量极小，</w:t>
            </w:r>
            <w:bookmarkStart w:id="43" w:name="hmcheck_9711c253d3b74bbba56f019fb1f9c438"/>
            <w:r>
              <w:rPr>
                <w:rFonts w:hint="default" w:ascii="Times New Roman" w:hAnsi="Times New Roman" w:cs="Times New Roman"/>
                <w:color w:val="auto"/>
                <w:sz w:val="24"/>
                <w:szCs w:val="24"/>
                <w:highlight w:val="none"/>
              </w:rPr>
              <w:t>且</w:t>
            </w:r>
            <w:bookmarkEnd w:id="43"/>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生物质燃料仓库</w:t>
            </w:r>
            <w:r>
              <w:rPr>
                <w:rFonts w:hint="default" w:ascii="Times New Roman" w:hAnsi="Times New Roman" w:cs="Times New Roman"/>
                <w:color w:val="auto"/>
                <w:sz w:val="24"/>
                <w:szCs w:val="24"/>
                <w:highlight w:val="none"/>
              </w:rPr>
              <w:t>储量较低，使用周期仅为</w:t>
            </w:r>
            <w:r>
              <w:rPr>
                <w:rFonts w:hint="default" w:ascii="Times New Roman" w:hAnsi="Times New Roman"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d，故不考虑灰渣库和</w:t>
            </w:r>
            <w:r>
              <w:rPr>
                <w:rFonts w:hint="default" w:ascii="Times New Roman" w:hAnsi="Times New Roman" w:cs="Times New Roman"/>
                <w:color w:val="auto"/>
                <w:sz w:val="24"/>
                <w:szCs w:val="24"/>
                <w:highlight w:val="none"/>
                <w:lang w:val="en-US" w:eastAsia="zh-CN"/>
              </w:rPr>
              <w:t>生物质燃料仓库</w:t>
            </w:r>
            <w:r>
              <w:rPr>
                <w:rFonts w:hint="default" w:ascii="Times New Roman" w:hAnsi="Times New Roman" w:cs="Times New Roman"/>
                <w:color w:val="auto"/>
                <w:sz w:val="24"/>
                <w:szCs w:val="24"/>
                <w:highlight w:val="none"/>
              </w:rPr>
              <w:t>起</w:t>
            </w:r>
            <w:bookmarkStart w:id="44" w:name="hmcheck_cc2089beddfb4af8ab1341191b60cf7a"/>
            <w:r>
              <w:rPr>
                <w:rFonts w:hint="default" w:ascii="Times New Roman" w:hAnsi="Times New Roman" w:cs="Times New Roman"/>
                <w:color w:val="auto"/>
                <w:sz w:val="24"/>
                <w:szCs w:val="24"/>
                <w:highlight w:val="none"/>
              </w:rPr>
              <w:t>尘</w:t>
            </w:r>
            <w:bookmarkEnd w:id="44"/>
            <w:r>
              <w:rPr>
                <w:rFonts w:hint="default" w:ascii="Times New Roman" w:hAnsi="Times New Roman" w:cs="Times New Roman"/>
                <w:color w:val="auto"/>
                <w:sz w:val="24"/>
                <w:szCs w:val="24"/>
                <w:highlight w:val="none"/>
              </w:rPr>
              <w:t>。</w:t>
            </w:r>
          </w:p>
          <w:p w14:paraId="491C2C85">
            <w:pPr>
              <w:spacing w:line="360" w:lineRule="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kern w:val="0"/>
                <w:sz w:val="24"/>
                <w:highlight w:val="none"/>
              </w:rPr>
              <w:t>大气污染物排放治理措施及合理性分析</w:t>
            </w:r>
          </w:p>
          <w:p w14:paraId="2171321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eastAsia="zh-CN"/>
              </w:rPr>
              <w:t>生物质热风炉</w:t>
            </w:r>
            <w:r>
              <w:rPr>
                <w:rFonts w:hint="default" w:ascii="Times New Roman" w:hAnsi="Times New Roman" w:cs="Times New Roman"/>
                <w:color w:val="auto"/>
                <w:sz w:val="24"/>
                <w:szCs w:val="24"/>
                <w:highlight w:val="none"/>
              </w:rPr>
              <w:t>排气筒高度合理性分析</w:t>
            </w:r>
          </w:p>
          <w:p w14:paraId="0A8D8A3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w:t>
            </w:r>
            <w:r>
              <w:rPr>
                <w:rFonts w:hint="default" w:ascii="Times New Roman" w:hAnsi="Times New Roman" w:cs="Times New Roman"/>
                <w:color w:val="auto"/>
                <w:kern w:val="0"/>
                <w:sz w:val="24"/>
                <w:highlight w:val="none"/>
                <w:lang w:val="en-US" w:eastAsia="zh-CN"/>
              </w:rPr>
              <w:t>《国家能源局环境保护部关于加强生物质成型燃料锅炉供热示范项目建设管理工作有关要求的通知》（国能新能﹝201</w:t>
            </w:r>
            <w:r>
              <w:rPr>
                <w:rFonts w:hint="eastAsia"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lang w:val="en-US" w:eastAsia="zh-CN"/>
              </w:rPr>
              <w:t>﹞520号）</w:t>
            </w:r>
            <w:r>
              <w:rPr>
                <w:rFonts w:hint="eastAsia" w:cs="Times New Roman"/>
                <w:color w:val="auto"/>
                <w:kern w:val="0"/>
                <w:sz w:val="24"/>
                <w:highlight w:val="none"/>
                <w:lang w:val="en-US" w:eastAsia="zh-CN"/>
              </w:rPr>
              <w:t>相关</w:t>
            </w:r>
            <w:r>
              <w:rPr>
                <w:rFonts w:hint="default" w:ascii="Times New Roman" w:hAnsi="Times New Roman" w:cs="Times New Roman"/>
                <w:color w:val="auto"/>
                <w:kern w:val="0"/>
                <w:sz w:val="24"/>
                <w:highlight w:val="none"/>
                <w:lang w:val="en-US" w:eastAsia="zh-CN"/>
              </w:rPr>
              <w:t>要求</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严格锅炉大气污染物排放控制</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按照国能新能[2014]295号文件要求，示范项目的烟尘、SO</w:t>
            </w:r>
            <w:r>
              <w:rPr>
                <w:rFonts w:hint="default" w:ascii="Times New Roman" w:hAnsi="Times New Roman" w:cs="Times New Roman"/>
                <w:color w:val="auto"/>
                <w:kern w:val="0"/>
                <w:sz w:val="24"/>
                <w:highlight w:val="none"/>
                <w:vertAlign w:val="subscript"/>
                <w:lang w:val="en-US" w:eastAsia="zh-CN"/>
              </w:rPr>
              <w:t>2</w:t>
            </w:r>
            <w:r>
              <w:rPr>
                <w:rFonts w:hint="default" w:ascii="Times New Roman" w:hAnsi="Times New Roman" w:cs="Times New Roman"/>
                <w:color w:val="auto"/>
                <w:kern w:val="0"/>
                <w:sz w:val="24"/>
                <w:highlight w:val="none"/>
                <w:lang w:val="en-US" w:eastAsia="zh-CN"/>
              </w:rPr>
              <w:t>、NOx排放浓度在分别小于30mg/m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、50mg/m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、200mg/m</w:t>
            </w:r>
            <w:r>
              <w:rPr>
                <w:rFonts w:hint="default" w:ascii="Times New Roman" w:hAnsi="Times New Roman" w:cs="Times New Roman"/>
                <w:color w:val="auto"/>
                <w:kern w:val="0"/>
                <w:sz w:val="24"/>
                <w:highlight w:val="none"/>
                <w:vertAlign w:val="superscript"/>
                <w:lang w:val="en-US" w:eastAsia="zh-CN"/>
              </w:rPr>
              <w:t>3</w:t>
            </w:r>
            <w:r>
              <w:rPr>
                <w:rFonts w:hint="default" w:ascii="Times New Roman" w:hAnsi="Times New Roman" w:cs="Times New Roman"/>
                <w:color w:val="auto"/>
                <w:kern w:val="0"/>
                <w:sz w:val="24"/>
                <w:highlight w:val="none"/>
                <w:lang w:val="en-US" w:eastAsia="zh-CN"/>
              </w:rPr>
              <w:t>的基础上，进一步严格控制排放，达到或优于天然气排放标准（折算基准氧含量排放浓度时，暂定按9%执行；烟囱高度参照天然气标准，具体高度按批复的环境影响评价文件确定）。综合考虑后项目</w:t>
            </w:r>
            <w:r>
              <w:rPr>
                <w:rFonts w:hint="eastAsia" w:cs="Times New Roman"/>
                <w:color w:val="auto"/>
                <w:kern w:val="0"/>
                <w:sz w:val="24"/>
                <w:highlight w:val="none"/>
                <w:lang w:val="en-US" w:eastAsia="zh-CN"/>
              </w:rPr>
              <w:t>污染物</w:t>
            </w:r>
            <w:r>
              <w:rPr>
                <w:rFonts w:hint="default" w:ascii="Times New Roman" w:hAnsi="Times New Roman" w:cs="Times New Roman"/>
                <w:color w:val="auto"/>
                <w:kern w:val="0"/>
                <w:sz w:val="24"/>
                <w:highlight w:val="none"/>
                <w:lang w:val="en-US" w:eastAsia="zh-CN"/>
              </w:rPr>
              <w:t>排放浓度执行《锅炉大气污染物排放标准》（GB13271-2014）表</w:t>
            </w:r>
            <w:r>
              <w:rPr>
                <w:rFonts w:hint="eastAsia" w:cs="Times New Roman"/>
                <w:color w:val="auto"/>
                <w:kern w:val="0"/>
                <w:sz w:val="24"/>
                <w:highlight w:val="none"/>
                <w:lang w:val="en-US" w:eastAsia="zh-CN"/>
              </w:rPr>
              <w:t>3</w:t>
            </w:r>
            <w:r>
              <w:rPr>
                <w:rFonts w:hint="default" w:ascii="Times New Roman" w:hAnsi="Times New Roman" w:cs="Times New Roman"/>
                <w:color w:val="auto"/>
                <w:kern w:val="0"/>
                <w:sz w:val="24"/>
                <w:highlight w:val="none"/>
                <w:lang w:val="en-US" w:eastAsia="zh-CN"/>
              </w:rPr>
              <w:t>燃气锅炉</w:t>
            </w:r>
            <w:r>
              <w:rPr>
                <w:rFonts w:hint="eastAsia" w:cs="Times New Roman"/>
                <w:color w:val="auto"/>
                <w:kern w:val="0"/>
                <w:sz w:val="24"/>
                <w:highlight w:val="none"/>
                <w:lang w:val="en-US" w:eastAsia="zh-CN"/>
              </w:rPr>
              <w:t>特别</w:t>
            </w:r>
            <w:r>
              <w:rPr>
                <w:rFonts w:hint="default" w:ascii="Times New Roman" w:hAnsi="Times New Roman" w:cs="Times New Roman"/>
                <w:color w:val="auto"/>
                <w:kern w:val="0"/>
                <w:sz w:val="24"/>
                <w:highlight w:val="none"/>
                <w:lang w:val="en-US" w:eastAsia="zh-CN"/>
              </w:rPr>
              <w:t>排放限值</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烟囱高度参照天然气标准</w:t>
            </w:r>
            <w:r>
              <w:rPr>
                <w:rFonts w:hint="default" w:ascii="Times New Roman" w:hAnsi="Times New Roman" w:cs="Times New Roman"/>
                <w:color w:val="auto"/>
                <w:sz w:val="24"/>
                <w:szCs w:val="24"/>
                <w:highlight w:val="none"/>
              </w:rPr>
              <w:t>。</w:t>
            </w:r>
          </w:p>
          <w:p w14:paraId="6336C0B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本项目烟气经采用</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低氮燃烧技术+陶瓷多管除尘+布袋除尘+双碱法脱硫</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对烟气进行处理后，通过</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m高的烟囱排放，烟囱内径1.0m，周边200m范围内无高度大于</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m的建筑物，因此</w:t>
            </w:r>
            <w:r>
              <w:rPr>
                <w:rFonts w:hint="default" w:ascii="Times New Roman" w:hAnsi="Times New Roman" w:cs="Times New Roman"/>
                <w:color w:val="auto"/>
                <w:sz w:val="24"/>
                <w:szCs w:val="24"/>
                <w:highlight w:val="none"/>
                <w:lang w:val="en-US" w:eastAsia="zh-CN"/>
              </w:rPr>
              <w:t>热风炉</w:t>
            </w:r>
            <w:r>
              <w:rPr>
                <w:rFonts w:hint="default" w:ascii="Times New Roman" w:hAnsi="Times New Roman" w:cs="Times New Roman"/>
                <w:color w:val="auto"/>
                <w:sz w:val="24"/>
                <w:szCs w:val="24"/>
                <w:highlight w:val="none"/>
              </w:rPr>
              <w:t>烟囱高度符合标准要求。</w:t>
            </w:r>
          </w:p>
          <w:p w14:paraId="793551A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生物质热风炉</w:t>
            </w:r>
            <w:r>
              <w:rPr>
                <w:rFonts w:hint="default" w:ascii="Times New Roman" w:hAnsi="Times New Roman" w:cs="Times New Roman"/>
                <w:color w:val="auto"/>
                <w:sz w:val="24"/>
                <w:szCs w:val="24"/>
                <w:highlight w:val="none"/>
              </w:rPr>
              <w:t>烟气治理措施合理性分析</w:t>
            </w:r>
          </w:p>
          <w:p w14:paraId="6603D91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①除尘可行性分析</w:t>
            </w:r>
          </w:p>
          <w:p w14:paraId="2662BB09">
            <w:pPr>
              <w:spacing w:line="360" w:lineRule="auto"/>
              <w:ind w:firstLine="480" w:firstLineChars="200"/>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本项目采用“</w:t>
            </w:r>
            <w:r>
              <w:rPr>
                <w:rFonts w:hint="eastAsia" w:cs="Times New Roman"/>
                <w:color w:val="auto"/>
                <w:sz w:val="24"/>
                <w:szCs w:val="24"/>
                <w:highlight w:val="none"/>
                <w:lang w:eastAsia="zh-CN"/>
              </w:rPr>
              <w:t>陶瓷多管除尘+布袋除尘</w:t>
            </w:r>
            <w:r>
              <w:rPr>
                <w:rFonts w:hint="eastAsia" w:cs="Times New Roman"/>
                <w:color w:val="auto"/>
                <w:sz w:val="24"/>
                <w:szCs w:val="24"/>
                <w:highlight w:val="none"/>
                <w:lang w:val="en-US" w:eastAsia="zh-CN"/>
              </w:rPr>
              <w:t>”组合式除尘工艺，旋风除尘器和袋式除尘器均属于</w:t>
            </w:r>
            <w:r>
              <w:rPr>
                <w:rFonts w:hint="default" w:ascii="Times New Roman" w:hAnsi="Times New Roman" w:cs="Times New Roman"/>
                <w:color w:val="auto"/>
                <w:sz w:val="24"/>
                <w:szCs w:val="24"/>
                <w:highlight w:val="none"/>
              </w:rPr>
              <w:t>《4430 工业锅炉（热力生产和供应行业）产污系数表-生物质工业锅炉》</w:t>
            </w:r>
            <w:r>
              <w:rPr>
                <w:rFonts w:hint="eastAsia" w:cs="Times New Roman"/>
                <w:color w:val="auto"/>
                <w:sz w:val="24"/>
                <w:szCs w:val="24"/>
                <w:highlight w:val="none"/>
                <w:lang w:val="en-US" w:eastAsia="zh-CN"/>
              </w:rPr>
              <w:t>和《排污许可证申请与核发技术规范 锅炉》（HJ953-2018）中的可行技术</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经核算本项目颗粒物经</w:t>
            </w:r>
            <w:r>
              <w:rPr>
                <w:rFonts w:hint="eastAsia" w:cs="Times New Roman"/>
                <w:color w:val="auto"/>
                <w:sz w:val="24"/>
                <w:szCs w:val="24"/>
                <w:highlight w:val="none"/>
                <w:lang w:val="en-US" w:eastAsia="zh-CN"/>
              </w:rPr>
              <w:t>“</w:t>
            </w:r>
            <w:r>
              <w:rPr>
                <w:rFonts w:hint="eastAsia" w:cs="Times New Roman"/>
                <w:color w:val="auto"/>
                <w:sz w:val="24"/>
                <w:szCs w:val="24"/>
                <w:highlight w:val="none"/>
                <w:lang w:eastAsia="zh-CN"/>
              </w:rPr>
              <w:t>陶瓷多管除尘+布袋除尘</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处理后可以达标排放，且本项目年运行时间较短，且秋季晴好天气多、空气对流条件佳、大气扩散能力强，颗粒物排放对区域环境的影响处于全年相对较低水平。综合考虑，采用</w:t>
            </w:r>
            <w:r>
              <w:rPr>
                <w:rFonts w:hint="eastAsia" w:cs="Times New Roman"/>
                <w:color w:val="auto"/>
                <w:sz w:val="24"/>
                <w:szCs w:val="24"/>
                <w:highlight w:val="none"/>
                <w:lang w:val="en-US" w:eastAsia="zh-CN"/>
              </w:rPr>
              <w:t>“</w:t>
            </w:r>
            <w:r>
              <w:rPr>
                <w:rFonts w:hint="eastAsia" w:cs="Times New Roman"/>
                <w:color w:val="auto"/>
                <w:sz w:val="24"/>
                <w:szCs w:val="24"/>
                <w:highlight w:val="none"/>
                <w:lang w:eastAsia="zh-CN"/>
              </w:rPr>
              <w:t>陶瓷多管除尘+布袋除尘</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技术可行。</w:t>
            </w:r>
          </w:p>
          <w:p w14:paraId="0FFB392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多管旋风除尘的工作原理：由许多小型旋风除尘器</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又称旋风子</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组合在一个壳体内并联使用。旋风子的直径变化于 100～250mm，能够有效地捕集 5～10μm 的粉尘。用耐磨铸铁铸成，可以处理含尘浓度较高的</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100g/m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气体。常见的有回流式和直流式两种。</w:t>
            </w:r>
          </w:p>
          <w:p w14:paraId="65C693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前者的每个旋风子都是轴向进气，导流叶片使气流产生旋转运动；后者由直流式旋风子组合而成。多管旋风除尘器效率高、处理气体量大，除尘器机芯由导向器、旋风子、排气管等，采用陶瓷或铸铁材料制成，当含尘气体进入除尘器入口，通过导向器，于旋风子内部旋转，在离心力的作用下，粉尘和气体分离，粉尘降落在集尘箱内，经锁气器排出。使含尘气流作旋转运动，借助于离心力将尘粒从气流中分离并捕集于器壁，再借助重力使尘粒落入集尘室的除尘装置，在普通操作条件下，作用于粒子上的离心力是重力的 5-2500 倍，所以旋风除尘器的效率显著高于重力沉降室。普通旋风除尘器由筒体，锥体和进、排一气管、集尘室等组成。常见的有回流式旋风除尘器、直流式旋风除尘器和多管旋风除尘器等。旋风除尘器结构简单，易于制造、安装和维护管理，设备投资和操作费用低。从技术、经济诸方面考虑，旋风除尘器压力损失一般为 500-2000Pa。已广泛用来从气流中分离固体和液体粒子，或从液体中分离固体粒子。</w:t>
            </w:r>
          </w:p>
          <w:p w14:paraId="0F76942B">
            <w:pPr>
              <w:snapToGrid w:val="0"/>
              <w:spacing w:line="360" w:lineRule="auto"/>
              <w:ind w:firstLine="480"/>
              <w:rPr>
                <w:color w:val="auto"/>
                <w:sz w:val="24"/>
                <w:szCs w:val="24"/>
                <w:highlight w:val="none"/>
              </w:rPr>
            </w:pPr>
            <w:r>
              <w:rPr>
                <w:rFonts w:hint="eastAsia"/>
                <w:color w:val="auto"/>
                <w:sz w:val="24"/>
                <w:szCs w:val="24"/>
                <w:highlight w:val="none"/>
              </w:rPr>
              <w:t>袋除尘器工作原理：当含尘气体由进风口进入灰斗后，一部分较粗的尘粒在这里由于惯性碰撞、自然沉降等原因落入灰斗，大部分尘粒随气流上升进入</w:t>
            </w:r>
            <w:bookmarkStart w:id="45" w:name="hmcheck_6686a32d9d45476483a5871ecf2a3a20"/>
            <w:r>
              <w:rPr>
                <w:rFonts w:hint="eastAsia"/>
                <w:color w:val="auto"/>
                <w:sz w:val="24"/>
                <w:szCs w:val="24"/>
                <w:highlight w:val="none"/>
              </w:rPr>
              <w:t>袋</w:t>
            </w:r>
            <w:bookmarkEnd w:id="45"/>
            <w:r>
              <w:rPr>
                <w:rFonts w:hint="eastAsia"/>
                <w:color w:val="auto"/>
                <w:sz w:val="24"/>
                <w:szCs w:val="24"/>
                <w:highlight w:val="none"/>
              </w:rPr>
              <w:t>室，经滤袋过滤后，尘粒被阻留在滤袋外侧，净化后的气体则由滤袋内部进入箱体，再由阀板孔、出风口排入大气中，达到除尘的目的。</w:t>
            </w:r>
          </w:p>
          <w:p w14:paraId="2AC1A176">
            <w:pPr>
              <w:snapToGrid w:val="0"/>
              <w:spacing w:line="360" w:lineRule="auto"/>
              <w:ind w:firstLine="480"/>
              <w:rPr>
                <w:rFonts w:hint="eastAsia" w:ascii="Times New Roman" w:hAnsi="Times New Roman" w:eastAsia="宋体" w:cs="Times New Roman"/>
                <w:color w:val="auto"/>
                <w:sz w:val="24"/>
                <w:szCs w:val="24"/>
                <w:highlight w:val="none"/>
                <w:lang w:eastAsia="zh-CN"/>
              </w:rPr>
            </w:pPr>
            <w:r>
              <w:rPr>
                <w:rFonts w:hint="eastAsia"/>
                <w:color w:val="auto"/>
                <w:sz w:val="24"/>
                <w:szCs w:val="24"/>
                <w:highlight w:val="none"/>
              </w:rPr>
              <w:t>布袋除尘器在我国技术成熟，设计、制造、调试和运行管理经验等方面都比较系统而成熟，得到较为广泛的应用，其优点主要表现在除尘效率高、占地面积小、性能稳定可靠，对负荷变化适应性好、运行管理简便等方面。布袋除尘器特别适宜捕集细微而干燥的粉尘，所收的干</w:t>
            </w:r>
            <w:bookmarkStart w:id="46" w:name="hmcheck_ec3317376f8d406da6e1d8698710d2fb"/>
            <w:r>
              <w:rPr>
                <w:rFonts w:hint="eastAsia"/>
                <w:color w:val="auto"/>
                <w:sz w:val="24"/>
                <w:szCs w:val="24"/>
                <w:highlight w:val="none"/>
              </w:rPr>
              <w:t>尘</w:t>
            </w:r>
            <w:bookmarkEnd w:id="46"/>
            <w:r>
              <w:rPr>
                <w:rFonts w:hint="eastAsia"/>
                <w:color w:val="auto"/>
                <w:sz w:val="24"/>
                <w:szCs w:val="24"/>
                <w:highlight w:val="none"/>
              </w:rPr>
              <w:t>便于处理和回收利用。能实现不停机检修并能按场地要求作专门设计。自动化程度较高，对除尘系统所有设备均有检测报警功能，对操作人员要求较低。从经济指标的角度看，布袋除尘器的除尘效率满足本项目对除尘效率的要求</w:t>
            </w:r>
            <w:r>
              <w:rPr>
                <w:rFonts w:hint="eastAsia"/>
                <w:color w:val="auto"/>
                <w:sz w:val="24"/>
                <w:szCs w:val="24"/>
                <w:highlight w:val="none"/>
                <w:lang w:eastAsia="zh-CN"/>
              </w:rPr>
              <w:t>。</w:t>
            </w:r>
          </w:p>
          <w:p w14:paraId="3A8F9416">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②脱硫措施合理性分析</w:t>
            </w:r>
          </w:p>
          <w:p w14:paraId="275F6990">
            <w:pPr>
              <w:spacing w:line="360" w:lineRule="auto"/>
              <w:ind w:firstLine="472" w:firstLineChars="200"/>
              <w:rPr>
                <w:rFonts w:hint="default" w:ascii="Times New Roman" w:hAnsi="Times New Roman" w:cs="Times New Roman"/>
                <w:snapToGrid w:val="0"/>
                <w:color w:val="auto"/>
                <w:spacing w:val="-2"/>
                <w:kern w:val="0"/>
                <w:sz w:val="24"/>
                <w:szCs w:val="24"/>
                <w:highlight w:val="none"/>
              </w:rPr>
            </w:pPr>
            <w:r>
              <w:rPr>
                <w:rFonts w:hint="default" w:ascii="Times New Roman" w:hAnsi="Times New Roman" w:cs="Times New Roman"/>
                <w:snapToGrid w:val="0"/>
                <w:color w:val="auto"/>
                <w:spacing w:val="-2"/>
                <w:kern w:val="0"/>
                <w:sz w:val="24"/>
                <w:szCs w:val="24"/>
                <w:highlight w:val="none"/>
              </w:rPr>
              <w:t>本项目主要考虑烟气脱硫，目前</w:t>
            </w:r>
            <w:r>
              <w:rPr>
                <w:rFonts w:hint="default" w:ascii="Times New Roman" w:hAnsi="Times New Roman" w:cs="Times New Roman"/>
                <w:snapToGrid w:val="0"/>
                <w:color w:val="auto"/>
                <w:spacing w:val="-2"/>
                <w:kern w:val="0"/>
                <w:sz w:val="24"/>
                <w:szCs w:val="24"/>
                <w:highlight w:val="none"/>
                <w:lang w:val="en-US" w:eastAsia="zh-CN"/>
              </w:rPr>
              <w:t>各类锅炉</w:t>
            </w:r>
            <w:r>
              <w:rPr>
                <w:rFonts w:hint="default" w:ascii="Times New Roman" w:hAnsi="Times New Roman" w:cs="Times New Roman"/>
                <w:snapToGrid w:val="0"/>
                <w:color w:val="auto"/>
                <w:spacing w:val="-2"/>
                <w:kern w:val="0"/>
                <w:sz w:val="24"/>
                <w:szCs w:val="24"/>
                <w:highlight w:val="none"/>
              </w:rPr>
              <w:t>主要采用的烟气脱硫方法有碱法脱硫、石灰石-石膏湿法脱硫、氨法脱硫。</w:t>
            </w:r>
          </w:p>
          <w:p w14:paraId="735E63E0">
            <w:pPr>
              <w:spacing w:line="360" w:lineRule="auto"/>
              <w:ind w:firstLine="472" w:firstLineChars="200"/>
              <w:rPr>
                <w:rFonts w:hint="default" w:ascii="Times New Roman" w:hAnsi="Times New Roman" w:cs="Times New Roman"/>
                <w:snapToGrid w:val="0"/>
                <w:color w:val="auto"/>
                <w:spacing w:val="-2"/>
                <w:kern w:val="0"/>
                <w:sz w:val="24"/>
                <w:szCs w:val="24"/>
                <w:highlight w:val="none"/>
              </w:rPr>
            </w:pPr>
            <w:r>
              <w:rPr>
                <w:rFonts w:hint="default" w:ascii="Times New Roman" w:hAnsi="Times New Roman" w:cs="Times New Roman"/>
                <w:snapToGrid w:val="0"/>
                <w:color w:val="auto"/>
                <w:spacing w:val="-2"/>
                <w:kern w:val="0"/>
                <w:sz w:val="24"/>
                <w:szCs w:val="24"/>
                <w:highlight w:val="none"/>
              </w:rPr>
              <w:t>a、碱法脱硫：</w:t>
            </w:r>
            <w:bookmarkStart w:id="47" w:name="hmcheck_d5eed507699c40018e6942868f7a939f"/>
            <w:r>
              <w:rPr>
                <w:rFonts w:hint="default" w:ascii="Times New Roman" w:hAnsi="Times New Roman" w:cs="Times New Roman"/>
                <w:snapToGrid w:val="0"/>
                <w:color w:val="auto"/>
                <w:spacing w:val="-2"/>
                <w:kern w:val="0"/>
                <w:sz w:val="24"/>
                <w:szCs w:val="24"/>
                <w:highlight w:val="none"/>
              </w:rPr>
              <w:t>钠</w:t>
            </w:r>
            <w:bookmarkEnd w:id="47"/>
            <w:r>
              <w:rPr>
                <w:rFonts w:hint="default" w:ascii="Times New Roman" w:hAnsi="Times New Roman" w:cs="Times New Roman"/>
                <w:snapToGrid w:val="0"/>
                <w:color w:val="auto"/>
                <w:spacing w:val="-2"/>
                <w:kern w:val="0"/>
                <w:sz w:val="24"/>
                <w:szCs w:val="24"/>
                <w:highlight w:val="none"/>
              </w:rPr>
              <w:t>碱法脱硫工艺，简称碱法。该法主要是脱除气体中的SO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气体。适用于锅炉烟气、焦炉气、锅炉生产废气等的脱硫。</w:t>
            </w:r>
          </w:p>
          <w:p w14:paraId="3ED45C34">
            <w:pPr>
              <w:spacing w:line="360" w:lineRule="auto"/>
              <w:ind w:firstLine="472" w:firstLineChars="200"/>
              <w:rPr>
                <w:rFonts w:hint="default" w:ascii="Times New Roman" w:hAnsi="Times New Roman" w:cs="Times New Roman"/>
                <w:snapToGrid w:val="0"/>
                <w:color w:val="auto"/>
                <w:spacing w:val="-2"/>
                <w:kern w:val="0"/>
                <w:sz w:val="24"/>
                <w:szCs w:val="24"/>
                <w:highlight w:val="none"/>
              </w:rPr>
            </w:pPr>
            <w:bookmarkStart w:id="48" w:name="hmcheck_140b7bf405b64fcd8dca75ebf582dd23"/>
            <w:r>
              <w:rPr>
                <w:rFonts w:hint="default" w:ascii="Times New Roman" w:hAnsi="Times New Roman" w:cs="Times New Roman"/>
                <w:snapToGrid w:val="0"/>
                <w:color w:val="auto"/>
                <w:spacing w:val="-2"/>
                <w:kern w:val="0"/>
                <w:sz w:val="24"/>
                <w:szCs w:val="24"/>
                <w:highlight w:val="none"/>
              </w:rPr>
              <w:t>钠</w:t>
            </w:r>
            <w:bookmarkEnd w:id="48"/>
            <w:r>
              <w:rPr>
                <w:rFonts w:hint="default" w:ascii="Times New Roman" w:hAnsi="Times New Roman" w:cs="Times New Roman"/>
                <w:snapToGrid w:val="0"/>
                <w:color w:val="auto"/>
                <w:spacing w:val="-2"/>
                <w:kern w:val="0"/>
                <w:sz w:val="24"/>
                <w:szCs w:val="24"/>
                <w:highlight w:val="none"/>
              </w:rPr>
              <w:t>双碱法是用</w:t>
            </w:r>
            <w:bookmarkStart w:id="49" w:name="hmcheck_a7c1cce5103d486983d508ce6721358f"/>
            <w:r>
              <w:rPr>
                <w:rFonts w:hint="default" w:ascii="Times New Roman" w:hAnsi="Times New Roman" w:cs="Times New Roman"/>
                <w:snapToGrid w:val="0"/>
                <w:color w:val="auto"/>
                <w:spacing w:val="-2"/>
                <w:kern w:val="0"/>
                <w:sz w:val="24"/>
                <w:szCs w:val="24"/>
                <w:highlight w:val="none"/>
              </w:rPr>
              <w:t>钠</w:t>
            </w:r>
            <w:bookmarkEnd w:id="49"/>
            <w:r>
              <w:rPr>
                <w:rFonts w:hint="default" w:ascii="Times New Roman" w:hAnsi="Times New Roman" w:cs="Times New Roman"/>
                <w:snapToGrid w:val="0"/>
                <w:color w:val="auto"/>
                <w:spacing w:val="-2"/>
                <w:kern w:val="0"/>
                <w:sz w:val="24"/>
                <w:szCs w:val="24"/>
                <w:highlight w:val="none"/>
              </w:rPr>
              <w:t>碱性吸收液进行烟气脱硫，由于整个反应过程是</w:t>
            </w:r>
            <w:bookmarkStart w:id="50" w:name="hmcheck_798a65d181244f3486634ff3c73f501c"/>
            <w:r>
              <w:rPr>
                <w:rFonts w:hint="default" w:ascii="Times New Roman" w:hAnsi="Times New Roman" w:cs="Times New Roman"/>
                <w:snapToGrid w:val="0"/>
                <w:color w:val="auto"/>
                <w:spacing w:val="-2"/>
                <w:kern w:val="0"/>
                <w:sz w:val="24"/>
                <w:szCs w:val="24"/>
                <w:highlight w:val="none"/>
              </w:rPr>
              <w:t>液</w:t>
            </w:r>
            <w:bookmarkEnd w:id="50"/>
            <w:r>
              <w:rPr>
                <w:rFonts w:hint="default" w:ascii="Times New Roman" w:hAnsi="Times New Roman" w:cs="Times New Roman"/>
                <w:snapToGrid w:val="0"/>
                <w:color w:val="auto"/>
                <w:spacing w:val="-2"/>
                <w:kern w:val="0"/>
                <w:sz w:val="24"/>
                <w:szCs w:val="24"/>
                <w:highlight w:val="none"/>
                <w:lang w:eastAsia="zh-CN"/>
              </w:rPr>
              <w:t>、</w:t>
            </w:r>
            <w:r>
              <w:rPr>
                <w:rFonts w:hint="default" w:ascii="Times New Roman" w:hAnsi="Times New Roman" w:cs="Times New Roman"/>
                <w:snapToGrid w:val="0"/>
                <w:color w:val="auto"/>
                <w:spacing w:val="-2"/>
                <w:kern w:val="0"/>
                <w:sz w:val="24"/>
                <w:szCs w:val="24"/>
                <w:highlight w:val="none"/>
              </w:rPr>
              <w:t>气相之间进行，避免了系统结垢问题，而且吸收速率高，液气比低，吸收剂利用率高，投资费用省，运行成本低。</w:t>
            </w:r>
          </w:p>
          <w:p w14:paraId="169B17DC">
            <w:pPr>
              <w:spacing w:line="360" w:lineRule="auto"/>
              <w:ind w:firstLine="472" w:firstLineChars="200"/>
              <w:rPr>
                <w:rFonts w:hint="default" w:ascii="Times New Roman" w:hAnsi="Times New Roman" w:cs="Times New Roman"/>
                <w:snapToGrid w:val="0"/>
                <w:color w:val="auto"/>
                <w:spacing w:val="-2"/>
                <w:kern w:val="0"/>
                <w:sz w:val="24"/>
                <w:szCs w:val="24"/>
                <w:highlight w:val="none"/>
              </w:rPr>
            </w:pPr>
            <w:r>
              <w:rPr>
                <w:rFonts w:hint="default" w:ascii="Times New Roman" w:hAnsi="Times New Roman" w:cs="Times New Roman"/>
                <w:snapToGrid w:val="0"/>
                <w:color w:val="auto"/>
                <w:spacing w:val="-2"/>
                <w:kern w:val="0"/>
                <w:sz w:val="24"/>
                <w:szCs w:val="24"/>
                <w:highlight w:val="none"/>
              </w:rPr>
              <w:t>b、石灰石-石膏湿法脱硫：石灰石－石膏湿法脱硫工艺是目前世界上应用最广泛、技术最为成熟的SO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脱除技术，约占全部安装FGD容量的70％。它是以石灰石为脱硫吸收剂，通过向吸收塔内喷入吸收剂浆液，使之与烟气充分接触、混合，并对烟气进行洗涤，使得烟气中的SO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与浆液中的碳酸钙以及</w:t>
            </w:r>
            <w:bookmarkStart w:id="51" w:name="hmcheck_e9c5a6726f274e29bbef241569ba309b"/>
            <w:r>
              <w:rPr>
                <w:rFonts w:hint="default" w:ascii="Times New Roman" w:hAnsi="Times New Roman" w:cs="Times New Roman"/>
                <w:snapToGrid w:val="0"/>
                <w:color w:val="auto"/>
                <w:spacing w:val="-2"/>
                <w:kern w:val="0"/>
                <w:sz w:val="24"/>
                <w:szCs w:val="24"/>
                <w:highlight w:val="none"/>
              </w:rPr>
              <w:t>鼓</w:t>
            </w:r>
            <w:bookmarkEnd w:id="51"/>
            <w:r>
              <w:rPr>
                <w:rFonts w:hint="default" w:ascii="Times New Roman" w:hAnsi="Times New Roman" w:cs="Times New Roman"/>
                <w:snapToGrid w:val="0"/>
                <w:color w:val="auto"/>
                <w:spacing w:val="-2"/>
                <w:kern w:val="0"/>
                <w:sz w:val="24"/>
                <w:szCs w:val="24"/>
                <w:highlight w:val="none"/>
              </w:rPr>
              <w:t>入的强制氧化空气发生化学反应，最后生成石膏，从而达到脱除SO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的目的。</w:t>
            </w:r>
          </w:p>
          <w:p w14:paraId="6CE64388">
            <w:pPr>
              <w:spacing w:line="360" w:lineRule="auto"/>
              <w:ind w:firstLine="472" w:firstLineChars="200"/>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spacing w:val="-2"/>
                <w:kern w:val="0"/>
                <w:sz w:val="24"/>
                <w:szCs w:val="24"/>
                <w:highlight w:val="none"/>
              </w:rPr>
              <w:t>c、氨法脱硫：高效除尘后的烟气经喷水冷却到饱和温度从下部进入洗涤塔。若烟气中含尘浓度较高，则需增设一个喷水冷却除尘装置，以提高副产品硫酸铵的纯度。饱和烟气在一体化床式洗涤塔内，先后通过二段循环床式洗涤区，烟气与自上而下喷淋的洗涤液逆行，在床体中</w:t>
            </w:r>
            <w:bookmarkStart w:id="52" w:name="hmcheck_37b43e917ec644f9a1cfe257b7526c64"/>
            <w:r>
              <w:rPr>
                <w:rFonts w:hint="default" w:ascii="Times New Roman" w:hAnsi="Times New Roman" w:cs="Times New Roman"/>
                <w:snapToGrid w:val="0"/>
                <w:color w:val="auto"/>
                <w:spacing w:val="-2"/>
                <w:kern w:val="0"/>
                <w:sz w:val="24"/>
                <w:szCs w:val="24"/>
                <w:highlight w:val="none"/>
              </w:rPr>
              <w:t>液</w:t>
            </w:r>
            <w:bookmarkEnd w:id="52"/>
            <w:r>
              <w:rPr>
                <w:rFonts w:hint="default" w:ascii="Times New Roman" w:hAnsi="Times New Roman" w:cs="Times New Roman"/>
                <w:snapToGrid w:val="0"/>
                <w:color w:val="auto"/>
                <w:spacing w:val="-2"/>
                <w:kern w:val="0"/>
                <w:sz w:val="24"/>
                <w:szCs w:val="24"/>
                <w:highlight w:val="none"/>
              </w:rPr>
              <w:t>、气进行剧烈的接触反应，SO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基本上被完全吸收。当烟气中SO</w:t>
            </w:r>
            <w:r>
              <w:rPr>
                <w:rFonts w:hint="default" w:ascii="Times New Roman" w:hAnsi="Times New Roman" w:cs="Times New Roman"/>
                <w:snapToGrid w:val="0"/>
                <w:color w:val="auto"/>
                <w:spacing w:val="-2"/>
                <w:kern w:val="0"/>
                <w:sz w:val="24"/>
                <w:szCs w:val="24"/>
                <w:highlight w:val="none"/>
                <w:vertAlign w:val="subscript"/>
              </w:rPr>
              <w:t>2</w:t>
            </w:r>
            <w:r>
              <w:rPr>
                <w:rFonts w:hint="default" w:ascii="Times New Roman" w:hAnsi="Times New Roman" w:cs="Times New Roman"/>
                <w:snapToGrid w:val="0"/>
                <w:color w:val="auto"/>
                <w:spacing w:val="-2"/>
                <w:kern w:val="0"/>
                <w:sz w:val="24"/>
                <w:szCs w:val="24"/>
                <w:highlight w:val="none"/>
              </w:rPr>
              <w:t>浓度较大（1000ppm以上）时，脱硫系统会</w:t>
            </w:r>
            <w:r>
              <w:rPr>
                <w:rFonts w:hint="default" w:ascii="Times New Roman" w:hAnsi="Times New Roman" w:cs="Times New Roman"/>
                <w:color w:val="auto"/>
                <w:sz w:val="24"/>
                <w:szCs w:val="24"/>
                <w:highlight w:val="none"/>
              </w:rPr>
              <w:t>产生铵盐的气溶胶（亚微米粒子）。净化后烟气排入烟囱。</w:t>
            </w:r>
          </w:p>
          <w:p w14:paraId="1970B851">
            <w:pPr>
              <w:spacing w:line="360" w:lineRule="auto"/>
              <w:ind w:firstLine="480" w:firstLineChars="200"/>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rPr>
              <w:t>d、</w:t>
            </w:r>
            <w:r>
              <w:rPr>
                <w:rFonts w:hint="default" w:ascii="Times New Roman" w:hAnsi="Times New Roman" w:cs="Times New Roman"/>
                <w:color w:val="auto"/>
                <w:sz w:val="24"/>
                <w:szCs w:val="24"/>
                <w:highlight w:val="none"/>
                <w:lang w:val="en-GB"/>
              </w:rPr>
              <w:t>脱硫方法的比较</w:t>
            </w:r>
          </w:p>
          <w:p w14:paraId="1860E868">
            <w:pPr>
              <w:spacing w:line="360" w:lineRule="auto"/>
              <w:ind w:firstLine="480" w:firstLineChars="200"/>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锅炉几种典型脱硫方法的简单比较如</w:t>
            </w:r>
            <w:r>
              <w:rPr>
                <w:rFonts w:hint="default" w:ascii="Times New Roman" w:hAnsi="Times New Roman" w:cs="Times New Roman"/>
                <w:color w:val="auto"/>
                <w:sz w:val="24"/>
                <w:szCs w:val="24"/>
                <w:highlight w:val="none"/>
              </w:rPr>
              <w:t>下表</w:t>
            </w:r>
            <w:r>
              <w:rPr>
                <w:rFonts w:hint="default" w:ascii="Times New Roman" w:hAnsi="Times New Roman" w:cs="Times New Roman"/>
                <w:color w:val="auto"/>
                <w:sz w:val="24"/>
                <w:szCs w:val="24"/>
                <w:highlight w:val="none"/>
                <w:lang w:val="en-GB"/>
              </w:rPr>
              <w:t>。</w:t>
            </w:r>
          </w:p>
          <w:p w14:paraId="03230392">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GB" w:eastAsia="zh-CN"/>
              </w:rPr>
            </w:pPr>
            <w:r>
              <w:rPr>
                <w:rFonts w:hint="default" w:ascii="Times New Roman" w:hAnsi="Times New Roman" w:cs="Times New Roman"/>
                <w:b/>
                <w:bCs/>
                <w:color w:val="auto"/>
                <w:highlight w:val="none"/>
                <w:lang w:val="en-GB" w:eastAsia="zh-CN"/>
              </w:rPr>
              <w:t>表</w:t>
            </w:r>
            <w:r>
              <w:rPr>
                <w:rFonts w:hint="default" w:ascii="Times New Roman" w:hAnsi="Times New Roman" w:cs="Times New Roman"/>
                <w:b/>
                <w:bCs/>
                <w:color w:val="auto"/>
                <w:highlight w:val="none"/>
                <w:lang w:val="en-US" w:eastAsia="zh-CN"/>
              </w:rPr>
              <w:t xml:space="preserve">4-4 </w:t>
            </w:r>
            <w:r>
              <w:rPr>
                <w:rFonts w:hint="default" w:ascii="Times New Roman" w:hAnsi="Times New Roman" w:cs="Times New Roman"/>
                <w:b/>
                <w:bCs/>
                <w:color w:val="auto"/>
                <w:highlight w:val="none"/>
                <w:lang w:val="en-GB" w:eastAsia="zh-CN"/>
              </w:rPr>
              <w:t xml:space="preserve">  </w:t>
            </w:r>
            <w:r>
              <w:rPr>
                <w:rFonts w:hint="default" w:ascii="Times New Roman" w:hAnsi="Times New Roman" w:cs="Times New Roman"/>
                <w:b/>
                <w:bCs/>
                <w:color w:val="auto"/>
                <w:highlight w:val="none"/>
                <w:lang w:val="en-US" w:eastAsia="zh-CN"/>
              </w:rPr>
              <w:t>锅炉烟气</w:t>
            </w:r>
            <w:r>
              <w:rPr>
                <w:rFonts w:hint="default" w:ascii="Times New Roman" w:hAnsi="Times New Roman" w:cs="Times New Roman"/>
                <w:b/>
                <w:bCs/>
                <w:color w:val="auto"/>
                <w:highlight w:val="none"/>
                <w:lang w:val="en-GB" w:eastAsia="zh-CN"/>
              </w:rPr>
              <w:t>几种典型脱硫方法比较表</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70"/>
              <w:gridCol w:w="1793"/>
              <w:gridCol w:w="2172"/>
              <w:gridCol w:w="1758"/>
            </w:tblGrid>
            <w:tr w14:paraId="3F31B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12" w:space="0"/>
                    <w:bottom w:val="single" w:color="auto" w:sz="12" w:space="0"/>
                    <w:right w:val="single" w:color="auto" w:sz="4" w:space="0"/>
                  </w:tcBorders>
                  <w:vAlign w:val="center"/>
                </w:tcPr>
                <w:p w14:paraId="4190E1C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1670" w:type="dxa"/>
                  <w:tcBorders>
                    <w:top w:val="single" w:color="auto" w:sz="12" w:space="0"/>
                    <w:left w:val="single" w:color="auto" w:sz="4" w:space="0"/>
                    <w:bottom w:val="single" w:color="auto" w:sz="12" w:space="0"/>
                    <w:right w:val="single" w:color="auto" w:sz="4" w:space="0"/>
                  </w:tcBorders>
                  <w:vAlign w:val="center"/>
                </w:tcPr>
                <w:p w14:paraId="68B2C5D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w:t>
                  </w:r>
                </w:p>
              </w:tc>
              <w:tc>
                <w:tcPr>
                  <w:tcW w:w="1793" w:type="dxa"/>
                  <w:tcBorders>
                    <w:top w:val="single" w:color="auto" w:sz="12" w:space="0"/>
                    <w:left w:val="single" w:color="auto" w:sz="4" w:space="0"/>
                    <w:bottom w:val="single" w:color="auto" w:sz="12" w:space="0"/>
                    <w:right w:val="single" w:color="auto" w:sz="4" w:space="0"/>
                  </w:tcBorders>
                  <w:vAlign w:val="center"/>
                </w:tcPr>
                <w:p w14:paraId="022E93C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碱法脱硫</w:t>
                  </w:r>
                </w:p>
              </w:tc>
              <w:tc>
                <w:tcPr>
                  <w:tcW w:w="2172" w:type="dxa"/>
                  <w:tcBorders>
                    <w:top w:val="single" w:color="auto" w:sz="12" w:space="0"/>
                    <w:left w:val="single" w:color="auto" w:sz="4" w:space="0"/>
                    <w:bottom w:val="single" w:color="auto" w:sz="12" w:space="0"/>
                    <w:right w:val="single" w:color="auto" w:sz="4" w:space="0"/>
                  </w:tcBorders>
                  <w:vAlign w:val="center"/>
                </w:tcPr>
                <w:p w14:paraId="0B5804D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石灰石-石膏湿法</w:t>
                  </w:r>
                </w:p>
              </w:tc>
              <w:tc>
                <w:tcPr>
                  <w:tcW w:w="1758" w:type="dxa"/>
                  <w:tcBorders>
                    <w:top w:val="single" w:color="auto" w:sz="12" w:space="0"/>
                    <w:left w:val="single" w:color="auto" w:sz="4" w:space="0"/>
                    <w:bottom w:val="single" w:color="auto" w:sz="12" w:space="0"/>
                  </w:tcBorders>
                  <w:vAlign w:val="center"/>
                </w:tcPr>
                <w:p w14:paraId="38B9B3C1">
                  <w:pPr>
                    <w:pStyle w:val="35"/>
                    <w:bidi w:val="0"/>
                    <w:rPr>
                      <w:rFonts w:hint="default" w:ascii="Times New Roman" w:hAnsi="Times New Roman" w:cs="Times New Roman"/>
                      <w:b w:val="0"/>
                      <w:bCs w:val="0"/>
                      <w:color w:val="auto"/>
                      <w:sz w:val="21"/>
                      <w:szCs w:val="21"/>
                      <w:highlight w:val="none"/>
                    </w:rPr>
                  </w:pPr>
                  <w:bookmarkStart w:id="53" w:name="hmcheck_41fdc704fd8c400db7cbabd9a0cde7c9"/>
                  <w:r>
                    <w:rPr>
                      <w:rFonts w:hint="default" w:ascii="Times New Roman" w:hAnsi="Times New Roman" w:cs="Times New Roman"/>
                      <w:b w:val="0"/>
                      <w:bCs w:val="0"/>
                      <w:color w:val="auto"/>
                      <w:sz w:val="21"/>
                      <w:szCs w:val="21"/>
                      <w:highlight w:val="none"/>
                    </w:rPr>
                    <w:t>氨</w:t>
                  </w:r>
                  <w:bookmarkEnd w:id="53"/>
                  <w:r>
                    <w:rPr>
                      <w:rFonts w:hint="default" w:ascii="Times New Roman" w:hAnsi="Times New Roman" w:cs="Times New Roman"/>
                      <w:b w:val="0"/>
                      <w:bCs w:val="0"/>
                      <w:color w:val="auto"/>
                      <w:sz w:val="21"/>
                      <w:szCs w:val="21"/>
                      <w:highlight w:val="none"/>
                    </w:rPr>
                    <w:t>法</w:t>
                  </w:r>
                </w:p>
              </w:tc>
            </w:tr>
            <w:tr w14:paraId="79DBB8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12" w:space="0"/>
                    <w:bottom w:val="single" w:color="auto" w:sz="4" w:space="0"/>
                    <w:right w:val="single" w:color="auto" w:sz="4" w:space="0"/>
                  </w:tcBorders>
                  <w:vAlign w:val="center"/>
                </w:tcPr>
                <w:p w14:paraId="49530B5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w:t>
                  </w:r>
                </w:p>
              </w:tc>
              <w:tc>
                <w:tcPr>
                  <w:tcW w:w="1670" w:type="dxa"/>
                  <w:tcBorders>
                    <w:top w:val="single" w:color="auto" w:sz="12" w:space="0"/>
                    <w:left w:val="single" w:color="auto" w:sz="4" w:space="0"/>
                    <w:bottom w:val="single" w:color="auto" w:sz="4" w:space="0"/>
                    <w:right w:val="single" w:color="auto" w:sz="4" w:space="0"/>
                  </w:tcBorders>
                  <w:vAlign w:val="center"/>
                </w:tcPr>
                <w:p w14:paraId="1F1E695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技术成熟程度</w:t>
                  </w:r>
                </w:p>
              </w:tc>
              <w:tc>
                <w:tcPr>
                  <w:tcW w:w="1793" w:type="dxa"/>
                  <w:tcBorders>
                    <w:top w:val="single" w:color="auto" w:sz="12" w:space="0"/>
                    <w:left w:val="single" w:color="auto" w:sz="4" w:space="0"/>
                    <w:bottom w:val="single" w:color="auto" w:sz="4" w:space="0"/>
                    <w:right w:val="single" w:color="auto" w:sz="4" w:space="0"/>
                  </w:tcBorders>
                  <w:vAlign w:val="center"/>
                </w:tcPr>
                <w:p w14:paraId="1BF4DDF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成熟</w:t>
                  </w:r>
                </w:p>
              </w:tc>
              <w:tc>
                <w:tcPr>
                  <w:tcW w:w="2172" w:type="dxa"/>
                  <w:tcBorders>
                    <w:top w:val="single" w:color="auto" w:sz="12" w:space="0"/>
                    <w:left w:val="single" w:color="auto" w:sz="4" w:space="0"/>
                    <w:bottom w:val="single" w:color="auto" w:sz="4" w:space="0"/>
                    <w:right w:val="single" w:color="auto" w:sz="4" w:space="0"/>
                  </w:tcBorders>
                  <w:vAlign w:val="center"/>
                </w:tcPr>
                <w:p w14:paraId="4A51C6C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成熟</w:t>
                  </w:r>
                </w:p>
              </w:tc>
              <w:tc>
                <w:tcPr>
                  <w:tcW w:w="1758" w:type="dxa"/>
                  <w:tcBorders>
                    <w:top w:val="single" w:color="auto" w:sz="12" w:space="0"/>
                    <w:left w:val="single" w:color="auto" w:sz="4" w:space="0"/>
                    <w:bottom w:val="single" w:color="auto" w:sz="4" w:space="0"/>
                  </w:tcBorders>
                  <w:vAlign w:val="center"/>
                </w:tcPr>
                <w:p w14:paraId="6F71D77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成熟</w:t>
                  </w:r>
                </w:p>
              </w:tc>
            </w:tr>
            <w:tr w14:paraId="282AEC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12E5AAF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vAlign w:val="center"/>
                </w:tcPr>
                <w:p w14:paraId="759E447F">
                  <w:pPr>
                    <w:pStyle w:val="35"/>
                    <w:bidi w:val="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适用</w:t>
                  </w:r>
                  <w:r>
                    <w:rPr>
                      <w:rFonts w:hint="default" w:ascii="Times New Roman" w:hAnsi="Times New Roman" w:cs="Times New Roman"/>
                      <w:b w:val="0"/>
                      <w:bCs w:val="0"/>
                      <w:color w:val="auto"/>
                      <w:sz w:val="21"/>
                      <w:szCs w:val="21"/>
                      <w:highlight w:val="none"/>
                      <w:lang w:val="en-US" w:eastAsia="zh-CN"/>
                    </w:rPr>
                    <w:t>燃料</w:t>
                  </w:r>
                </w:p>
              </w:tc>
              <w:tc>
                <w:tcPr>
                  <w:tcW w:w="1793" w:type="dxa"/>
                  <w:tcBorders>
                    <w:top w:val="single" w:color="auto" w:sz="4" w:space="0"/>
                    <w:left w:val="single" w:color="auto" w:sz="4" w:space="0"/>
                    <w:bottom w:val="single" w:color="auto" w:sz="4" w:space="0"/>
                    <w:right w:val="single" w:color="auto" w:sz="4" w:space="0"/>
                  </w:tcBorders>
                  <w:vAlign w:val="center"/>
                </w:tcPr>
                <w:p w14:paraId="57ABD7E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不受含硫量限制</w:t>
                  </w:r>
                </w:p>
              </w:tc>
              <w:tc>
                <w:tcPr>
                  <w:tcW w:w="2172" w:type="dxa"/>
                  <w:tcBorders>
                    <w:top w:val="single" w:color="auto" w:sz="4" w:space="0"/>
                    <w:left w:val="single" w:color="auto" w:sz="4" w:space="0"/>
                    <w:bottom w:val="single" w:color="auto" w:sz="4" w:space="0"/>
                    <w:right w:val="single" w:color="auto" w:sz="4" w:space="0"/>
                  </w:tcBorders>
                  <w:vAlign w:val="center"/>
                </w:tcPr>
                <w:p w14:paraId="4A178D4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不受含硫量限制</w:t>
                  </w:r>
                </w:p>
              </w:tc>
              <w:tc>
                <w:tcPr>
                  <w:tcW w:w="1758" w:type="dxa"/>
                  <w:tcBorders>
                    <w:top w:val="single" w:color="auto" w:sz="4" w:space="0"/>
                    <w:left w:val="single" w:color="auto" w:sz="4" w:space="0"/>
                    <w:bottom w:val="single" w:color="auto" w:sz="4" w:space="0"/>
                  </w:tcBorders>
                  <w:vAlign w:val="center"/>
                </w:tcPr>
                <w:p w14:paraId="2D83199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不受含硫量限制</w:t>
                  </w:r>
                </w:p>
              </w:tc>
            </w:tr>
            <w:tr w14:paraId="33BE1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59882AA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vAlign w:val="center"/>
                </w:tcPr>
                <w:p w14:paraId="0AA5C76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应用单机规模</w:t>
                  </w:r>
                </w:p>
              </w:tc>
              <w:tc>
                <w:tcPr>
                  <w:tcW w:w="1793" w:type="dxa"/>
                  <w:tcBorders>
                    <w:top w:val="single" w:color="auto" w:sz="4" w:space="0"/>
                    <w:left w:val="single" w:color="auto" w:sz="4" w:space="0"/>
                    <w:bottom w:val="single" w:color="auto" w:sz="4" w:space="0"/>
                    <w:right w:val="single" w:color="auto" w:sz="4" w:space="0"/>
                  </w:tcBorders>
                  <w:vAlign w:val="center"/>
                </w:tcPr>
                <w:p w14:paraId="56160B1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没有限制</w:t>
                  </w:r>
                </w:p>
              </w:tc>
              <w:tc>
                <w:tcPr>
                  <w:tcW w:w="2172" w:type="dxa"/>
                  <w:tcBorders>
                    <w:top w:val="single" w:color="auto" w:sz="4" w:space="0"/>
                    <w:left w:val="single" w:color="auto" w:sz="4" w:space="0"/>
                    <w:bottom w:val="single" w:color="auto" w:sz="4" w:space="0"/>
                    <w:right w:val="single" w:color="auto" w:sz="4" w:space="0"/>
                  </w:tcBorders>
                  <w:vAlign w:val="center"/>
                </w:tcPr>
                <w:p w14:paraId="2F588EA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没有限制</w:t>
                  </w:r>
                </w:p>
              </w:tc>
              <w:tc>
                <w:tcPr>
                  <w:tcW w:w="1758" w:type="dxa"/>
                  <w:tcBorders>
                    <w:top w:val="single" w:color="auto" w:sz="4" w:space="0"/>
                    <w:left w:val="single" w:color="auto" w:sz="4" w:space="0"/>
                    <w:bottom w:val="single" w:color="auto" w:sz="4" w:space="0"/>
                  </w:tcBorders>
                  <w:vAlign w:val="center"/>
                </w:tcPr>
                <w:p w14:paraId="51B15CB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中小机组</w:t>
                  </w:r>
                </w:p>
              </w:tc>
            </w:tr>
            <w:tr w14:paraId="7CD54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4CCC3D6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vAlign w:val="center"/>
                </w:tcPr>
                <w:p w14:paraId="1452EEA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能达到的脱硫率</w:t>
                  </w:r>
                </w:p>
              </w:tc>
              <w:tc>
                <w:tcPr>
                  <w:tcW w:w="1793" w:type="dxa"/>
                  <w:tcBorders>
                    <w:top w:val="single" w:color="auto" w:sz="4" w:space="0"/>
                    <w:left w:val="single" w:color="auto" w:sz="4" w:space="0"/>
                    <w:bottom w:val="single" w:color="auto" w:sz="4" w:space="0"/>
                    <w:right w:val="single" w:color="auto" w:sz="4" w:space="0"/>
                  </w:tcBorders>
                  <w:vAlign w:val="center"/>
                </w:tcPr>
                <w:p w14:paraId="7A3FDD5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95%以上</w:t>
                  </w:r>
                </w:p>
              </w:tc>
              <w:tc>
                <w:tcPr>
                  <w:tcW w:w="2172" w:type="dxa"/>
                  <w:tcBorders>
                    <w:top w:val="single" w:color="auto" w:sz="4" w:space="0"/>
                    <w:left w:val="single" w:color="auto" w:sz="4" w:space="0"/>
                    <w:bottom w:val="single" w:color="auto" w:sz="4" w:space="0"/>
                    <w:right w:val="single" w:color="auto" w:sz="4" w:space="0"/>
                  </w:tcBorders>
                  <w:vAlign w:val="center"/>
                </w:tcPr>
                <w:p w14:paraId="4E20663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95%以上</w:t>
                  </w:r>
                </w:p>
              </w:tc>
              <w:tc>
                <w:tcPr>
                  <w:tcW w:w="1758" w:type="dxa"/>
                  <w:tcBorders>
                    <w:top w:val="single" w:color="auto" w:sz="4" w:space="0"/>
                    <w:left w:val="single" w:color="auto" w:sz="4" w:space="0"/>
                    <w:bottom w:val="single" w:color="auto" w:sz="4" w:space="0"/>
                  </w:tcBorders>
                  <w:vAlign w:val="center"/>
                </w:tcPr>
                <w:p w14:paraId="00C8DB1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90%以上</w:t>
                  </w:r>
                </w:p>
              </w:tc>
            </w:tr>
            <w:tr w14:paraId="77708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4DDD5DC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vAlign w:val="center"/>
                </w:tcPr>
                <w:p w14:paraId="376779B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吸收剂种类</w:t>
                  </w:r>
                </w:p>
              </w:tc>
              <w:tc>
                <w:tcPr>
                  <w:tcW w:w="1793" w:type="dxa"/>
                  <w:tcBorders>
                    <w:top w:val="single" w:color="auto" w:sz="4" w:space="0"/>
                    <w:left w:val="single" w:color="auto" w:sz="4" w:space="0"/>
                    <w:bottom w:val="single" w:color="auto" w:sz="4" w:space="0"/>
                    <w:right w:val="single" w:color="auto" w:sz="4" w:space="0"/>
                  </w:tcBorders>
                  <w:vAlign w:val="center"/>
                </w:tcPr>
                <w:p w14:paraId="349D068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可溶性</w:t>
                  </w:r>
                  <w:bookmarkStart w:id="54" w:name="hmcheck_9ed52ed6c7c44e9581f144641969c01c"/>
                  <w:r>
                    <w:rPr>
                      <w:rFonts w:hint="default" w:ascii="Times New Roman" w:hAnsi="Times New Roman" w:cs="Times New Roman"/>
                      <w:b w:val="0"/>
                      <w:bCs w:val="0"/>
                      <w:color w:val="auto"/>
                      <w:sz w:val="21"/>
                      <w:szCs w:val="21"/>
                      <w:highlight w:val="none"/>
                    </w:rPr>
                    <w:t>钠</w:t>
                  </w:r>
                  <w:bookmarkEnd w:id="54"/>
                  <w:r>
                    <w:rPr>
                      <w:rFonts w:hint="default" w:ascii="Times New Roman" w:hAnsi="Times New Roman" w:cs="Times New Roman"/>
                      <w:b w:val="0"/>
                      <w:bCs w:val="0"/>
                      <w:color w:val="auto"/>
                      <w:sz w:val="21"/>
                      <w:szCs w:val="21"/>
                      <w:highlight w:val="none"/>
                    </w:rPr>
                    <w:t>碱</w:t>
                  </w:r>
                </w:p>
              </w:tc>
              <w:tc>
                <w:tcPr>
                  <w:tcW w:w="2172" w:type="dxa"/>
                  <w:tcBorders>
                    <w:top w:val="single" w:color="auto" w:sz="4" w:space="0"/>
                    <w:left w:val="single" w:color="auto" w:sz="4" w:space="0"/>
                    <w:bottom w:val="single" w:color="auto" w:sz="4" w:space="0"/>
                    <w:right w:val="single" w:color="auto" w:sz="4" w:space="0"/>
                  </w:tcBorders>
                  <w:vAlign w:val="center"/>
                </w:tcPr>
                <w:p w14:paraId="738C509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石灰石</w:t>
                  </w:r>
                </w:p>
              </w:tc>
              <w:tc>
                <w:tcPr>
                  <w:tcW w:w="1758" w:type="dxa"/>
                  <w:tcBorders>
                    <w:top w:val="single" w:color="auto" w:sz="4" w:space="0"/>
                    <w:left w:val="single" w:color="auto" w:sz="4" w:space="0"/>
                    <w:bottom w:val="single" w:color="auto" w:sz="4" w:space="0"/>
                  </w:tcBorders>
                  <w:vAlign w:val="center"/>
                </w:tcPr>
                <w:p w14:paraId="1AF2C34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氨水</w:t>
                  </w:r>
                </w:p>
              </w:tc>
            </w:tr>
            <w:tr w14:paraId="4B29A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43F6A0E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vAlign w:val="center"/>
                </w:tcPr>
                <w:p w14:paraId="568535A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吸收剂来源</w:t>
                  </w:r>
                </w:p>
              </w:tc>
              <w:tc>
                <w:tcPr>
                  <w:tcW w:w="1793" w:type="dxa"/>
                  <w:tcBorders>
                    <w:top w:val="single" w:color="auto" w:sz="4" w:space="0"/>
                    <w:left w:val="single" w:color="auto" w:sz="4" w:space="0"/>
                    <w:bottom w:val="single" w:color="auto" w:sz="4" w:space="0"/>
                    <w:right w:val="single" w:color="auto" w:sz="4" w:space="0"/>
                  </w:tcBorders>
                  <w:vAlign w:val="center"/>
                </w:tcPr>
                <w:p w14:paraId="678797E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当地可以满足</w:t>
                  </w:r>
                </w:p>
              </w:tc>
              <w:tc>
                <w:tcPr>
                  <w:tcW w:w="2172" w:type="dxa"/>
                  <w:tcBorders>
                    <w:top w:val="single" w:color="auto" w:sz="4" w:space="0"/>
                    <w:left w:val="single" w:color="auto" w:sz="4" w:space="0"/>
                    <w:bottom w:val="single" w:color="auto" w:sz="4" w:space="0"/>
                    <w:right w:val="single" w:color="auto" w:sz="4" w:space="0"/>
                  </w:tcBorders>
                  <w:vAlign w:val="center"/>
                </w:tcPr>
                <w:p w14:paraId="6D79A51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当地可以满足</w:t>
                  </w:r>
                </w:p>
              </w:tc>
              <w:tc>
                <w:tcPr>
                  <w:tcW w:w="1758" w:type="dxa"/>
                  <w:tcBorders>
                    <w:top w:val="single" w:color="auto" w:sz="4" w:space="0"/>
                    <w:left w:val="single" w:color="auto" w:sz="4" w:space="0"/>
                    <w:bottom w:val="single" w:color="auto" w:sz="4" w:space="0"/>
                  </w:tcBorders>
                  <w:vAlign w:val="center"/>
                </w:tcPr>
                <w:p w14:paraId="61DE7D9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当地难以满足</w:t>
                  </w:r>
                </w:p>
              </w:tc>
            </w:tr>
            <w:tr w14:paraId="67670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4" w:space="0"/>
                    <w:right w:val="single" w:color="auto" w:sz="4" w:space="0"/>
                  </w:tcBorders>
                  <w:vAlign w:val="center"/>
                </w:tcPr>
                <w:p w14:paraId="396DFF4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vAlign w:val="center"/>
                </w:tcPr>
                <w:p w14:paraId="323DCA4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副产物种类</w:t>
                  </w:r>
                </w:p>
              </w:tc>
              <w:tc>
                <w:tcPr>
                  <w:tcW w:w="1793" w:type="dxa"/>
                  <w:tcBorders>
                    <w:top w:val="single" w:color="auto" w:sz="4" w:space="0"/>
                    <w:left w:val="single" w:color="auto" w:sz="4" w:space="0"/>
                    <w:bottom w:val="single" w:color="auto" w:sz="4" w:space="0"/>
                    <w:right w:val="single" w:color="auto" w:sz="4" w:space="0"/>
                  </w:tcBorders>
                  <w:vAlign w:val="center"/>
                </w:tcPr>
                <w:p w14:paraId="156997A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石膏浆</w:t>
                  </w:r>
                </w:p>
              </w:tc>
              <w:tc>
                <w:tcPr>
                  <w:tcW w:w="2172" w:type="dxa"/>
                  <w:tcBorders>
                    <w:top w:val="single" w:color="auto" w:sz="4" w:space="0"/>
                    <w:left w:val="single" w:color="auto" w:sz="4" w:space="0"/>
                    <w:bottom w:val="single" w:color="auto" w:sz="4" w:space="0"/>
                    <w:right w:val="single" w:color="auto" w:sz="4" w:space="0"/>
                  </w:tcBorders>
                  <w:vAlign w:val="center"/>
                </w:tcPr>
                <w:p w14:paraId="4A24ADE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石膏</w:t>
                  </w:r>
                </w:p>
              </w:tc>
              <w:tc>
                <w:tcPr>
                  <w:tcW w:w="1758" w:type="dxa"/>
                  <w:tcBorders>
                    <w:top w:val="single" w:color="auto" w:sz="4" w:space="0"/>
                    <w:left w:val="single" w:color="auto" w:sz="4" w:space="0"/>
                    <w:bottom w:val="single" w:color="auto" w:sz="4" w:space="0"/>
                  </w:tcBorders>
                  <w:vAlign w:val="center"/>
                </w:tcPr>
                <w:p w14:paraId="7F701E5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硫酸铵</w:t>
                  </w:r>
                </w:p>
              </w:tc>
            </w:tr>
            <w:tr w14:paraId="6C4F1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7" w:type="dxa"/>
                  <w:tcBorders>
                    <w:top w:val="single" w:color="auto" w:sz="4" w:space="0"/>
                    <w:bottom w:val="single" w:color="auto" w:sz="12" w:space="0"/>
                    <w:right w:val="single" w:color="auto" w:sz="4" w:space="0"/>
                  </w:tcBorders>
                  <w:vAlign w:val="center"/>
                </w:tcPr>
                <w:p w14:paraId="17789E3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8</w:t>
                  </w:r>
                </w:p>
              </w:tc>
              <w:tc>
                <w:tcPr>
                  <w:tcW w:w="1670" w:type="dxa"/>
                  <w:tcBorders>
                    <w:top w:val="single" w:color="auto" w:sz="4" w:space="0"/>
                    <w:left w:val="single" w:color="auto" w:sz="4" w:space="0"/>
                    <w:bottom w:val="single" w:color="auto" w:sz="12" w:space="0"/>
                    <w:right w:val="single" w:color="auto" w:sz="4" w:space="0"/>
                  </w:tcBorders>
                  <w:vAlign w:val="center"/>
                </w:tcPr>
                <w:p w14:paraId="0D5A9B9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副产物出路</w:t>
                  </w:r>
                </w:p>
              </w:tc>
              <w:tc>
                <w:tcPr>
                  <w:tcW w:w="1793" w:type="dxa"/>
                  <w:tcBorders>
                    <w:top w:val="single" w:color="auto" w:sz="4" w:space="0"/>
                    <w:left w:val="single" w:color="auto" w:sz="4" w:space="0"/>
                    <w:bottom w:val="single" w:color="auto" w:sz="12" w:space="0"/>
                    <w:right w:val="single" w:color="auto" w:sz="4" w:space="0"/>
                  </w:tcBorders>
                  <w:vAlign w:val="center"/>
                </w:tcPr>
                <w:p w14:paraId="509EB48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较容易</w:t>
                  </w:r>
                </w:p>
              </w:tc>
              <w:tc>
                <w:tcPr>
                  <w:tcW w:w="2172" w:type="dxa"/>
                  <w:tcBorders>
                    <w:top w:val="single" w:color="auto" w:sz="4" w:space="0"/>
                    <w:left w:val="single" w:color="auto" w:sz="4" w:space="0"/>
                    <w:bottom w:val="single" w:color="auto" w:sz="12" w:space="0"/>
                    <w:right w:val="single" w:color="auto" w:sz="4" w:space="0"/>
                  </w:tcBorders>
                  <w:vAlign w:val="center"/>
                </w:tcPr>
                <w:p w14:paraId="74189FE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可作水泥缓凝剂，如有条件还可进一步利用</w:t>
                  </w:r>
                </w:p>
              </w:tc>
              <w:tc>
                <w:tcPr>
                  <w:tcW w:w="1758" w:type="dxa"/>
                  <w:tcBorders>
                    <w:top w:val="single" w:color="auto" w:sz="4" w:space="0"/>
                    <w:left w:val="single" w:color="auto" w:sz="4" w:space="0"/>
                    <w:bottom w:val="single" w:color="auto" w:sz="12" w:space="0"/>
                  </w:tcBorders>
                  <w:vAlign w:val="center"/>
                </w:tcPr>
                <w:p w14:paraId="0532492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较容易</w:t>
                  </w:r>
                </w:p>
              </w:tc>
            </w:tr>
          </w:tbl>
          <w:p w14:paraId="2601D9D9">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GB"/>
              </w:rPr>
              <w:t>通过上述的比较与新疆各地</w:t>
            </w:r>
            <w:r>
              <w:rPr>
                <w:rFonts w:hint="default" w:ascii="Times New Roman" w:hAnsi="Times New Roman" w:cs="Times New Roman"/>
                <w:color w:val="auto"/>
                <w:sz w:val="24"/>
                <w:szCs w:val="24"/>
                <w:highlight w:val="none"/>
                <w:lang w:val="en-US" w:eastAsia="zh-CN"/>
              </w:rPr>
              <w:t>锅</w:t>
            </w:r>
            <w:r>
              <w:rPr>
                <w:rFonts w:hint="default" w:ascii="Times New Roman" w:hAnsi="Times New Roman" w:cs="Times New Roman"/>
                <w:color w:val="auto"/>
                <w:sz w:val="24"/>
                <w:szCs w:val="24"/>
                <w:highlight w:val="none"/>
              </w:rPr>
              <w:t>炉</w:t>
            </w:r>
            <w:r>
              <w:rPr>
                <w:rFonts w:hint="default" w:ascii="Times New Roman" w:hAnsi="Times New Roman" w:cs="Times New Roman"/>
                <w:color w:val="auto"/>
                <w:sz w:val="24"/>
                <w:szCs w:val="24"/>
                <w:highlight w:val="none"/>
                <w:lang w:val="en-GB"/>
              </w:rPr>
              <w:t>脱硫设备的运行经验，</w:t>
            </w:r>
            <w:bookmarkStart w:id="55" w:name="hmcheck_8c05f1a05b914aebaaef67d86c68c2a6"/>
            <w:r>
              <w:rPr>
                <w:rFonts w:hint="default" w:ascii="Times New Roman" w:hAnsi="Times New Roman" w:cs="Times New Roman"/>
                <w:color w:val="auto"/>
                <w:sz w:val="24"/>
                <w:szCs w:val="24"/>
                <w:highlight w:val="none"/>
                <w:lang w:val="en-US" w:eastAsia="zh-CN"/>
              </w:rPr>
              <w:t>钙钠</w:t>
            </w:r>
            <w:bookmarkEnd w:id="55"/>
            <w:r>
              <w:rPr>
                <w:rFonts w:hint="default" w:ascii="Times New Roman" w:hAnsi="Times New Roman" w:cs="Times New Roman"/>
                <w:color w:val="auto"/>
                <w:sz w:val="24"/>
                <w:szCs w:val="24"/>
                <w:highlight w:val="none"/>
                <w:lang w:val="en-US" w:eastAsia="zh-CN"/>
              </w:rPr>
              <w:t>双碱法</w:t>
            </w:r>
            <w:r>
              <w:rPr>
                <w:rFonts w:hint="default" w:ascii="Times New Roman" w:hAnsi="Times New Roman" w:cs="Times New Roman"/>
                <w:color w:val="auto"/>
                <w:sz w:val="24"/>
                <w:szCs w:val="24"/>
                <w:highlight w:val="none"/>
              </w:rPr>
              <w:t>脱硫</w:t>
            </w:r>
            <w:r>
              <w:rPr>
                <w:rFonts w:hint="default" w:ascii="Times New Roman" w:hAnsi="Times New Roman" w:cs="Times New Roman"/>
                <w:color w:val="auto"/>
                <w:sz w:val="24"/>
                <w:szCs w:val="24"/>
                <w:highlight w:val="none"/>
                <w:lang w:val="en-US" w:eastAsia="zh-CN"/>
              </w:rPr>
              <w:t>运营成本较低，技术成熟，安装方便，处理效率较好，副产物处理较为简单，故</w:t>
            </w:r>
            <w:r>
              <w:rPr>
                <w:rFonts w:hint="default" w:ascii="Times New Roman" w:hAnsi="Times New Roman" w:cs="Times New Roman"/>
                <w:color w:val="auto"/>
                <w:sz w:val="24"/>
                <w:szCs w:val="24"/>
                <w:highlight w:val="none"/>
                <w:lang w:val="en-GB"/>
              </w:rPr>
              <w:t>适用于本项目的脱硫工艺为</w:t>
            </w:r>
            <w:bookmarkStart w:id="56" w:name="hmcheck_a5fa0395ea76400d8872c32a62954328"/>
            <w:r>
              <w:rPr>
                <w:rFonts w:hint="default" w:ascii="Times New Roman" w:hAnsi="Times New Roman" w:cs="Times New Roman"/>
                <w:color w:val="auto"/>
                <w:sz w:val="24"/>
                <w:szCs w:val="24"/>
                <w:highlight w:val="none"/>
                <w:lang w:val="en-US" w:eastAsia="zh-CN"/>
              </w:rPr>
              <w:t>钙钠</w:t>
            </w:r>
            <w:bookmarkEnd w:id="56"/>
            <w:r>
              <w:rPr>
                <w:rFonts w:hint="default" w:ascii="Times New Roman" w:hAnsi="Times New Roman" w:cs="Times New Roman"/>
                <w:color w:val="auto"/>
                <w:sz w:val="24"/>
                <w:szCs w:val="24"/>
                <w:highlight w:val="none"/>
                <w:lang w:val="en-US" w:eastAsia="zh-CN"/>
              </w:rPr>
              <w:t>双碱法</w:t>
            </w:r>
            <w:r>
              <w:rPr>
                <w:rFonts w:hint="default" w:ascii="Times New Roman" w:hAnsi="Times New Roman" w:cs="Times New Roman"/>
                <w:color w:val="auto"/>
                <w:sz w:val="24"/>
                <w:szCs w:val="24"/>
                <w:highlight w:val="none"/>
                <w:lang w:val="en-GB"/>
              </w:rPr>
              <w:t>，</w:t>
            </w:r>
            <w:r>
              <w:rPr>
                <w:rFonts w:hint="default" w:ascii="Times New Roman" w:hAnsi="Times New Roman" w:cs="Times New Roman"/>
                <w:color w:val="auto"/>
                <w:sz w:val="24"/>
                <w:szCs w:val="24"/>
                <w:highlight w:val="none"/>
              </w:rPr>
              <w:t>脱硫效率可达设计效率，烟气中二氧化硫浓度可达设计浓度，故选取的工艺较为合理</w:t>
            </w:r>
            <w:r>
              <w:rPr>
                <w:rFonts w:hint="default" w:ascii="Times New Roman" w:hAnsi="Times New Roman" w:cs="Times New Roman"/>
                <w:color w:val="auto"/>
                <w:sz w:val="24"/>
                <w:szCs w:val="24"/>
                <w:highlight w:val="none"/>
                <w:lang w:val="en-GB"/>
              </w:rPr>
              <w:t>。</w:t>
            </w:r>
            <w:r>
              <w:rPr>
                <w:rFonts w:hint="default" w:ascii="Times New Roman" w:hAnsi="Times New Roman" w:cs="Times New Roman"/>
                <w:color w:val="auto"/>
                <w:sz w:val="24"/>
                <w:szCs w:val="24"/>
                <w:highlight w:val="none"/>
                <w:lang w:val="en-US" w:eastAsia="zh-CN"/>
              </w:rPr>
              <w:t>同时，双碱法为《排污许可证申请与核发技术规范 锅炉》（HJ953—2018）所列的污染防治可行技术，脱硫工程建设过程应符合《工业锅炉烟气治理工程技术规范》（HJ462-2021）中的一般规定。</w:t>
            </w:r>
          </w:p>
          <w:p w14:paraId="2BCA3AF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（3）无组织颗粒物控制措施及合理性分析</w:t>
            </w:r>
          </w:p>
          <w:p w14:paraId="0728665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防止在卸粮、清</w:t>
            </w:r>
            <w:bookmarkStart w:id="57" w:name="hmcheck_7e73a58c82524c9fb86885ed43c829a9"/>
            <w:r>
              <w:rPr>
                <w:rFonts w:hint="default" w:ascii="Times New Roman" w:hAnsi="Times New Roman" w:cs="Times New Roman"/>
                <w:color w:val="auto"/>
                <w:sz w:val="24"/>
                <w:szCs w:val="24"/>
                <w:highlight w:val="none"/>
              </w:rPr>
              <w:t>粮</w:t>
            </w:r>
            <w:bookmarkEnd w:id="57"/>
            <w:r>
              <w:rPr>
                <w:rFonts w:hint="default" w:ascii="Times New Roman" w:hAnsi="Times New Roman" w:cs="Times New Roman"/>
                <w:color w:val="auto"/>
                <w:sz w:val="24"/>
                <w:szCs w:val="24"/>
                <w:highlight w:val="none"/>
              </w:rPr>
              <w:t>等过程中粉尘外泄，减少粉尘的外逸和累积，建设单位拟采取以下治理措施：</w:t>
            </w:r>
          </w:p>
          <w:p w14:paraId="0429A34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①进厂粮食直接进入卸粮口，经滚筒筛</w:t>
            </w:r>
            <w:bookmarkStart w:id="58" w:name="hmcheck_f96b3eb27e5a4507b9c3a5e03bb6cff6"/>
            <w:r>
              <w:rPr>
                <w:rFonts w:hint="default" w:ascii="Times New Roman" w:hAnsi="Times New Roman" w:cs="Times New Roman"/>
                <w:color w:val="auto"/>
                <w:sz w:val="24"/>
                <w:szCs w:val="24"/>
                <w:highlight w:val="none"/>
              </w:rPr>
              <w:t>清粮</w:t>
            </w:r>
            <w:bookmarkEnd w:id="58"/>
            <w:r>
              <w:rPr>
                <w:rFonts w:hint="default" w:ascii="Times New Roman" w:hAnsi="Times New Roman" w:cs="Times New Roman"/>
                <w:color w:val="auto"/>
                <w:sz w:val="24"/>
                <w:szCs w:val="24"/>
                <w:highlight w:val="none"/>
              </w:rPr>
              <w:t>后的玉米进入</w:t>
            </w:r>
            <w:bookmarkStart w:id="59" w:name="hmcheck_0476c5ef3cca43a5a4da8ac8416a3eb6"/>
            <w:r>
              <w:rPr>
                <w:rFonts w:hint="default" w:ascii="Times New Roman" w:hAnsi="Times New Roman" w:cs="Times New Roman"/>
                <w:color w:val="auto"/>
                <w:sz w:val="24"/>
                <w:szCs w:val="24"/>
                <w:highlight w:val="none"/>
              </w:rPr>
              <w:t>湿</w:t>
            </w:r>
            <w:bookmarkEnd w:id="59"/>
            <w:r>
              <w:rPr>
                <w:rFonts w:hint="default" w:ascii="Times New Roman" w:hAnsi="Times New Roman" w:cs="Times New Roman"/>
                <w:color w:val="auto"/>
                <w:sz w:val="24"/>
                <w:szCs w:val="24"/>
                <w:highlight w:val="none"/>
              </w:rPr>
              <w:t>料仓，减少粮食的露天堆放。</w:t>
            </w:r>
          </w:p>
          <w:p w14:paraId="1F49D5F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②通过对</w:t>
            </w:r>
            <w:r>
              <w:rPr>
                <w:rFonts w:hint="eastAsia" w:cs="Times New Roman"/>
                <w:color w:val="auto"/>
                <w:sz w:val="24"/>
                <w:szCs w:val="24"/>
                <w:highlight w:val="none"/>
                <w:lang w:val="en-US" w:eastAsia="zh-CN"/>
              </w:rPr>
              <w:t>卸粮口</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进料口处设置密闭罩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输送环节设置</w:t>
            </w:r>
            <w:r>
              <w:rPr>
                <w:rFonts w:hint="default" w:ascii="Times New Roman" w:hAnsi="Times New Roman" w:cs="Times New Roman"/>
                <w:color w:val="auto"/>
                <w:sz w:val="24"/>
                <w:szCs w:val="24"/>
                <w:highlight w:val="none"/>
              </w:rPr>
              <w:t>密闭廊道</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减轻卸粮及输送环节粉尘对环境的影响</w:t>
            </w:r>
            <w:r>
              <w:rPr>
                <w:rFonts w:hint="default" w:ascii="Times New Roman" w:hAnsi="Times New Roman" w:cs="Times New Roman"/>
                <w:color w:val="auto"/>
                <w:sz w:val="24"/>
                <w:szCs w:val="24"/>
                <w:highlight w:val="none"/>
              </w:rPr>
              <w:t>。</w:t>
            </w:r>
          </w:p>
          <w:p w14:paraId="6625551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③在输送带加装密闭罩，采用全封闭形式输送玉米；</w:t>
            </w:r>
          </w:p>
          <w:p w14:paraId="78681D2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④在作业区设置抑尘网拦挡地面粉尘向外围扩散。同时在生产过程中建议工厂员工佩戴口罩等防护措施，避免粉尘进入口鼻中。</w:t>
            </w:r>
          </w:p>
          <w:p w14:paraId="0C459237">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⑤烘干塔整体封闭，顶部配套自吸式布袋除尘器，减少烘干过程产生的粉尘。</w:t>
            </w:r>
          </w:p>
          <w:p w14:paraId="2528A663">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在厂区上述措施，项目区的无组织排放颗粒物可</w:t>
            </w:r>
            <w:r>
              <w:rPr>
                <w:rFonts w:hint="eastAsia" w:cs="Times New Roman"/>
                <w:color w:val="auto"/>
                <w:sz w:val="24"/>
                <w:szCs w:val="24"/>
                <w:highlight w:val="none"/>
                <w:lang w:val="en-US" w:eastAsia="zh-CN"/>
              </w:rPr>
              <w:t>有效减少</w:t>
            </w:r>
            <w:r>
              <w:rPr>
                <w:rFonts w:hint="default" w:ascii="Times New Roman" w:hAnsi="Times New Roman" w:cs="Times New Roman"/>
                <w:color w:val="auto"/>
                <w:sz w:val="24"/>
                <w:szCs w:val="24"/>
                <w:highlight w:val="none"/>
              </w:rPr>
              <w:t>。故采取上述措施控制项目区无组织颗粒物排放措施合理，经济可行。</w:t>
            </w:r>
          </w:p>
          <w:p w14:paraId="16391537">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lang w:val="en-US" w:eastAsia="zh-CN"/>
              </w:rPr>
              <w:t xml:space="preserve">1.3 </w:t>
            </w:r>
            <w:r>
              <w:rPr>
                <w:rFonts w:hint="default" w:ascii="Times New Roman" w:hAnsi="Times New Roman" w:cs="Times New Roman"/>
                <w:b/>
                <w:bCs/>
                <w:color w:val="auto"/>
                <w:sz w:val="24"/>
                <w:szCs w:val="24"/>
                <w:highlight w:val="none"/>
              </w:rPr>
              <w:t>排放口基本情况</w:t>
            </w:r>
          </w:p>
          <w:p w14:paraId="48FCC58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本项目设置了</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个</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m高排气筒，排放口基本情况如下表4-</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p>
          <w:p w14:paraId="52CF76DE">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表4-5   排放口基本情况表</w:t>
            </w:r>
          </w:p>
          <w:tbl>
            <w:tblPr>
              <w:tblStyle w:val="20"/>
              <w:tblW w:w="82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56"/>
              <w:gridCol w:w="783"/>
              <w:gridCol w:w="700"/>
              <w:gridCol w:w="633"/>
              <w:gridCol w:w="667"/>
              <w:gridCol w:w="750"/>
              <w:gridCol w:w="1083"/>
              <w:gridCol w:w="1050"/>
              <w:gridCol w:w="1796"/>
            </w:tblGrid>
            <w:tr w14:paraId="5F3E3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6" w:type="dxa"/>
                  <w:vMerge w:val="restart"/>
                  <w:tcBorders>
                    <w:tl2br w:val="nil"/>
                    <w:tr2bl w:val="nil"/>
                  </w:tcBorders>
                  <w:vAlign w:val="center"/>
                </w:tcPr>
                <w:p w14:paraId="0EA6BF0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排放口</w:t>
                  </w:r>
                </w:p>
                <w:p w14:paraId="34FC4F3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名称</w:t>
                  </w:r>
                </w:p>
              </w:tc>
              <w:tc>
                <w:tcPr>
                  <w:tcW w:w="783" w:type="dxa"/>
                  <w:vMerge w:val="restart"/>
                  <w:tcBorders>
                    <w:tl2br w:val="nil"/>
                    <w:tr2bl w:val="nil"/>
                  </w:tcBorders>
                  <w:vAlign w:val="center"/>
                </w:tcPr>
                <w:p w14:paraId="73EDB34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编号</w:t>
                  </w:r>
                </w:p>
              </w:tc>
              <w:tc>
                <w:tcPr>
                  <w:tcW w:w="700" w:type="dxa"/>
                  <w:vMerge w:val="restart"/>
                  <w:tcBorders>
                    <w:tl2br w:val="nil"/>
                    <w:tr2bl w:val="nil"/>
                  </w:tcBorders>
                  <w:vAlign w:val="center"/>
                </w:tcPr>
                <w:p w14:paraId="7271112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高度</w:t>
                  </w:r>
                </w:p>
                <w:p w14:paraId="246F9B9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（m）</w:t>
                  </w:r>
                </w:p>
              </w:tc>
              <w:tc>
                <w:tcPr>
                  <w:tcW w:w="633" w:type="dxa"/>
                  <w:vMerge w:val="restart"/>
                  <w:tcBorders>
                    <w:tl2br w:val="nil"/>
                    <w:tr2bl w:val="nil"/>
                  </w:tcBorders>
                  <w:vAlign w:val="center"/>
                </w:tcPr>
                <w:p w14:paraId="60A3B85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内径</w:t>
                  </w:r>
                </w:p>
                <w:p w14:paraId="3D16B74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（m）</w:t>
                  </w:r>
                </w:p>
              </w:tc>
              <w:tc>
                <w:tcPr>
                  <w:tcW w:w="667" w:type="dxa"/>
                  <w:vMerge w:val="restart"/>
                  <w:tcBorders>
                    <w:tl2br w:val="nil"/>
                    <w:tr2bl w:val="nil"/>
                  </w:tcBorders>
                  <w:vAlign w:val="center"/>
                </w:tcPr>
                <w:p w14:paraId="4A600C4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温度</w:t>
                  </w:r>
                </w:p>
                <w:p w14:paraId="0CF7A1C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w:t>
                  </w:r>
                </w:p>
              </w:tc>
              <w:tc>
                <w:tcPr>
                  <w:tcW w:w="750" w:type="dxa"/>
                  <w:vMerge w:val="restart"/>
                  <w:tcBorders>
                    <w:tl2br w:val="nil"/>
                    <w:tr2bl w:val="nil"/>
                  </w:tcBorders>
                  <w:vAlign w:val="center"/>
                </w:tcPr>
                <w:p w14:paraId="1AB6BEE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类型</w:t>
                  </w:r>
                </w:p>
              </w:tc>
              <w:tc>
                <w:tcPr>
                  <w:tcW w:w="2133" w:type="dxa"/>
                  <w:gridSpan w:val="2"/>
                  <w:tcBorders>
                    <w:tl2br w:val="nil"/>
                    <w:tr2bl w:val="nil"/>
                  </w:tcBorders>
                  <w:vAlign w:val="center"/>
                </w:tcPr>
                <w:p w14:paraId="52AC27E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地理坐标</w:t>
                  </w:r>
                </w:p>
              </w:tc>
              <w:tc>
                <w:tcPr>
                  <w:tcW w:w="1796" w:type="dxa"/>
                  <w:vMerge w:val="restart"/>
                  <w:tcBorders>
                    <w:tl2br w:val="nil"/>
                    <w:tr2bl w:val="nil"/>
                  </w:tcBorders>
                  <w:vAlign w:val="center"/>
                </w:tcPr>
                <w:p w14:paraId="034A369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排放标准</w:t>
                  </w:r>
                </w:p>
              </w:tc>
            </w:tr>
            <w:tr w14:paraId="5DD40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6" w:type="dxa"/>
                  <w:vMerge w:val="continue"/>
                  <w:tcBorders>
                    <w:bottom w:val="single" w:color="auto" w:sz="12" w:space="0"/>
                    <w:tl2br w:val="nil"/>
                    <w:tr2bl w:val="nil"/>
                  </w:tcBorders>
                  <w:vAlign w:val="center"/>
                </w:tcPr>
                <w:p w14:paraId="17D4D5B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783" w:type="dxa"/>
                  <w:vMerge w:val="continue"/>
                  <w:tcBorders>
                    <w:bottom w:val="single" w:color="auto" w:sz="12" w:space="0"/>
                    <w:tl2br w:val="nil"/>
                    <w:tr2bl w:val="nil"/>
                  </w:tcBorders>
                  <w:vAlign w:val="center"/>
                </w:tcPr>
                <w:p w14:paraId="55AABB1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700" w:type="dxa"/>
                  <w:vMerge w:val="continue"/>
                  <w:tcBorders>
                    <w:bottom w:val="single" w:color="auto" w:sz="12" w:space="0"/>
                    <w:tl2br w:val="nil"/>
                    <w:tr2bl w:val="nil"/>
                  </w:tcBorders>
                  <w:vAlign w:val="center"/>
                </w:tcPr>
                <w:p w14:paraId="198D6F2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633" w:type="dxa"/>
                  <w:vMerge w:val="continue"/>
                  <w:tcBorders>
                    <w:bottom w:val="single" w:color="auto" w:sz="12" w:space="0"/>
                    <w:tl2br w:val="nil"/>
                    <w:tr2bl w:val="nil"/>
                  </w:tcBorders>
                  <w:vAlign w:val="center"/>
                </w:tcPr>
                <w:p w14:paraId="120A81A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667" w:type="dxa"/>
                  <w:vMerge w:val="continue"/>
                  <w:tcBorders>
                    <w:bottom w:val="single" w:color="auto" w:sz="12" w:space="0"/>
                    <w:tl2br w:val="nil"/>
                    <w:tr2bl w:val="nil"/>
                  </w:tcBorders>
                  <w:vAlign w:val="center"/>
                </w:tcPr>
                <w:p w14:paraId="3FE16D4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750" w:type="dxa"/>
                  <w:vMerge w:val="continue"/>
                  <w:tcBorders>
                    <w:bottom w:val="single" w:color="auto" w:sz="12" w:space="0"/>
                    <w:tl2br w:val="nil"/>
                    <w:tr2bl w:val="nil"/>
                  </w:tcBorders>
                  <w:vAlign w:val="center"/>
                </w:tcPr>
                <w:p w14:paraId="713CA1F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1083" w:type="dxa"/>
                  <w:tcBorders>
                    <w:bottom w:val="single" w:color="auto" w:sz="12" w:space="0"/>
                    <w:tl2br w:val="nil"/>
                    <w:tr2bl w:val="nil"/>
                  </w:tcBorders>
                  <w:vAlign w:val="center"/>
                </w:tcPr>
                <w:p w14:paraId="6685153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N</w:t>
                  </w:r>
                </w:p>
              </w:tc>
              <w:tc>
                <w:tcPr>
                  <w:tcW w:w="1050" w:type="dxa"/>
                  <w:tcBorders>
                    <w:bottom w:val="single" w:color="auto" w:sz="12" w:space="0"/>
                    <w:tl2br w:val="nil"/>
                    <w:tr2bl w:val="nil"/>
                  </w:tcBorders>
                  <w:vAlign w:val="center"/>
                </w:tcPr>
                <w:p w14:paraId="329E135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E</w:t>
                  </w:r>
                </w:p>
              </w:tc>
              <w:tc>
                <w:tcPr>
                  <w:tcW w:w="1796" w:type="dxa"/>
                  <w:vMerge w:val="continue"/>
                  <w:tcBorders>
                    <w:bottom w:val="single" w:color="auto" w:sz="12" w:space="0"/>
                    <w:tl2br w:val="nil"/>
                    <w:tr2bl w:val="nil"/>
                  </w:tcBorders>
                  <w:vAlign w:val="center"/>
                </w:tcPr>
                <w:p w14:paraId="789AC66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r>
            <w:tr w14:paraId="13217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6" w:type="dxa"/>
                  <w:vMerge w:val="restart"/>
                  <w:tcBorders>
                    <w:top w:val="single" w:color="auto" w:sz="4" w:space="0"/>
                  </w:tcBorders>
                  <w:vAlign w:val="center"/>
                </w:tcPr>
                <w:p w14:paraId="44CF44B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热风</w:t>
                  </w:r>
                  <w:r>
                    <w:rPr>
                      <w:rFonts w:hint="default" w:ascii="Times New Roman" w:hAnsi="Times New Roman" w:cs="Times New Roman"/>
                      <w:b w:val="0"/>
                      <w:bCs w:val="0"/>
                      <w:color w:val="auto"/>
                      <w:sz w:val="21"/>
                      <w:szCs w:val="21"/>
                      <w:highlight w:val="none"/>
                      <w:lang w:val="en-US" w:eastAsia="zh-CN"/>
                    </w:rPr>
                    <w:t>炉排气筒</w:t>
                  </w:r>
                </w:p>
              </w:tc>
              <w:tc>
                <w:tcPr>
                  <w:tcW w:w="783" w:type="dxa"/>
                  <w:tcBorders>
                    <w:top w:val="single" w:color="auto" w:sz="4" w:space="0"/>
                    <w:bottom w:val="single" w:color="auto" w:sz="4" w:space="0"/>
                  </w:tcBorders>
                  <w:vAlign w:val="center"/>
                </w:tcPr>
                <w:p w14:paraId="64570C6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DA00</w:t>
                  </w:r>
                  <w:r>
                    <w:rPr>
                      <w:rFonts w:hint="default" w:ascii="Times New Roman" w:hAnsi="Times New Roman" w:cs="Times New Roman"/>
                      <w:b w:val="0"/>
                      <w:bCs w:val="0"/>
                      <w:color w:val="auto"/>
                      <w:sz w:val="21"/>
                      <w:szCs w:val="21"/>
                      <w:highlight w:val="none"/>
                      <w:lang w:val="en-US" w:eastAsia="zh-CN"/>
                    </w:rPr>
                    <w:t>1</w:t>
                  </w:r>
                </w:p>
              </w:tc>
              <w:tc>
                <w:tcPr>
                  <w:tcW w:w="700" w:type="dxa"/>
                  <w:tcBorders>
                    <w:top w:val="single" w:color="auto" w:sz="4" w:space="0"/>
                    <w:bottom w:val="single" w:color="auto" w:sz="4" w:space="0"/>
                  </w:tcBorders>
                  <w:vAlign w:val="center"/>
                </w:tcPr>
                <w:p w14:paraId="07EEE45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15</w:t>
                  </w:r>
                </w:p>
              </w:tc>
              <w:tc>
                <w:tcPr>
                  <w:tcW w:w="633" w:type="dxa"/>
                  <w:tcBorders>
                    <w:top w:val="single" w:color="auto" w:sz="4" w:space="0"/>
                    <w:bottom w:val="single" w:color="auto" w:sz="4" w:space="0"/>
                  </w:tcBorders>
                  <w:vAlign w:val="center"/>
                </w:tcPr>
                <w:p w14:paraId="6F2E422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1.0</w:t>
                  </w:r>
                </w:p>
              </w:tc>
              <w:tc>
                <w:tcPr>
                  <w:tcW w:w="667" w:type="dxa"/>
                  <w:tcBorders>
                    <w:top w:val="single" w:color="auto" w:sz="4" w:space="0"/>
                    <w:bottom w:val="single" w:color="auto" w:sz="4" w:space="0"/>
                  </w:tcBorders>
                  <w:vAlign w:val="center"/>
                </w:tcPr>
                <w:p w14:paraId="6DC863B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60</w:t>
                  </w:r>
                </w:p>
              </w:tc>
              <w:tc>
                <w:tcPr>
                  <w:tcW w:w="750" w:type="dxa"/>
                  <w:tcBorders>
                    <w:top w:val="single" w:color="auto" w:sz="4" w:space="0"/>
                    <w:bottom w:val="single" w:color="auto" w:sz="4" w:space="0"/>
                  </w:tcBorders>
                  <w:vAlign w:val="center"/>
                </w:tcPr>
                <w:p w14:paraId="64B70BC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主要</w:t>
                  </w:r>
                  <w:r>
                    <w:rPr>
                      <w:rFonts w:hint="default" w:ascii="Times New Roman" w:hAnsi="Times New Roman" w:cs="Times New Roman"/>
                      <w:b w:val="0"/>
                      <w:bCs w:val="0"/>
                      <w:color w:val="auto"/>
                      <w:sz w:val="21"/>
                      <w:szCs w:val="21"/>
                      <w:highlight w:val="none"/>
                    </w:rPr>
                    <w:t>排放口</w:t>
                  </w:r>
                </w:p>
              </w:tc>
              <w:tc>
                <w:tcPr>
                  <w:tcW w:w="1083" w:type="dxa"/>
                  <w:tcBorders>
                    <w:top w:val="single" w:color="auto" w:sz="4" w:space="0"/>
                    <w:bottom w:val="single" w:color="auto" w:sz="4" w:space="0"/>
                  </w:tcBorders>
                  <w:vAlign w:val="center"/>
                </w:tcPr>
                <w:p w14:paraId="385CDDB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44.872411</w:t>
                  </w:r>
                </w:p>
              </w:tc>
              <w:tc>
                <w:tcPr>
                  <w:tcW w:w="1050" w:type="dxa"/>
                  <w:tcBorders>
                    <w:top w:val="single" w:color="auto" w:sz="4" w:space="0"/>
                    <w:bottom w:val="single" w:color="auto" w:sz="4" w:space="0"/>
                  </w:tcBorders>
                  <w:vAlign w:val="center"/>
                </w:tcPr>
                <w:p w14:paraId="061ED3F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84.819299</w:t>
                  </w:r>
                </w:p>
              </w:tc>
              <w:tc>
                <w:tcPr>
                  <w:tcW w:w="1796" w:type="dxa"/>
                  <w:vMerge w:val="restart"/>
                  <w:tcBorders>
                    <w:top w:val="single" w:color="auto" w:sz="4" w:space="0"/>
                  </w:tcBorders>
                  <w:vAlign w:val="center"/>
                </w:tcPr>
                <w:p w14:paraId="7DD7247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《锅炉大气污染物排放标准》（GB13271-2014）</w:t>
                  </w:r>
                </w:p>
              </w:tc>
            </w:tr>
            <w:tr w14:paraId="0C0123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6" w:type="dxa"/>
                  <w:vMerge w:val="continue"/>
                  <w:tcBorders>
                    <w:bottom w:val="single" w:color="auto" w:sz="12" w:space="0"/>
                  </w:tcBorders>
                  <w:vAlign w:val="center"/>
                </w:tcPr>
                <w:p w14:paraId="5C20424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p>
              </w:tc>
              <w:tc>
                <w:tcPr>
                  <w:tcW w:w="783" w:type="dxa"/>
                  <w:tcBorders>
                    <w:top w:val="single" w:color="auto" w:sz="4" w:space="0"/>
                    <w:bottom w:val="single" w:color="auto" w:sz="12" w:space="0"/>
                  </w:tcBorders>
                  <w:shd w:val="clear" w:color="auto" w:fill="auto"/>
                  <w:vAlign w:val="center"/>
                </w:tcPr>
                <w:p w14:paraId="5BBCFB3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DA00</w:t>
                  </w:r>
                  <w:r>
                    <w:rPr>
                      <w:rFonts w:hint="default" w:ascii="Times New Roman" w:hAnsi="Times New Roman" w:cs="Times New Roman"/>
                      <w:b w:val="0"/>
                      <w:bCs w:val="0"/>
                      <w:color w:val="auto"/>
                      <w:sz w:val="21"/>
                      <w:szCs w:val="21"/>
                      <w:highlight w:val="none"/>
                      <w:lang w:val="en-US" w:eastAsia="zh-CN"/>
                    </w:rPr>
                    <w:t>2</w:t>
                  </w:r>
                </w:p>
              </w:tc>
              <w:tc>
                <w:tcPr>
                  <w:tcW w:w="700" w:type="dxa"/>
                  <w:tcBorders>
                    <w:top w:val="single" w:color="auto" w:sz="4" w:space="0"/>
                    <w:bottom w:val="single" w:color="auto" w:sz="12" w:space="0"/>
                  </w:tcBorders>
                  <w:shd w:val="clear" w:color="auto" w:fill="auto"/>
                  <w:vAlign w:val="center"/>
                </w:tcPr>
                <w:p w14:paraId="023EAAE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15</w:t>
                  </w:r>
                </w:p>
              </w:tc>
              <w:tc>
                <w:tcPr>
                  <w:tcW w:w="633" w:type="dxa"/>
                  <w:tcBorders>
                    <w:top w:val="single" w:color="auto" w:sz="4" w:space="0"/>
                    <w:bottom w:val="single" w:color="auto" w:sz="12" w:space="0"/>
                  </w:tcBorders>
                  <w:shd w:val="clear" w:color="auto" w:fill="auto"/>
                  <w:vAlign w:val="center"/>
                </w:tcPr>
                <w:p w14:paraId="4A38FFF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1.0</w:t>
                  </w:r>
                </w:p>
              </w:tc>
              <w:tc>
                <w:tcPr>
                  <w:tcW w:w="667" w:type="dxa"/>
                  <w:tcBorders>
                    <w:top w:val="single" w:color="auto" w:sz="4" w:space="0"/>
                    <w:bottom w:val="single" w:color="auto" w:sz="12" w:space="0"/>
                  </w:tcBorders>
                  <w:shd w:val="clear" w:color="auto" w:fill="auto"/>
                  <w:vAlign w:val="center"/>
                </w:tcPr>
                <w:p w14:paraId="56E07F9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60</w:t>
                  </w:r>
                </w:p>
              </w:tc>
              <w:tc>
                <w:tcPr>
                  <w:tcW w:w="750" w:type="dxa"/>
                  <w:tcBorders>
                    <w:top w:val="single" w:color="auto" w:sz="4" w:space="0"/>
                    <w:bottom w:val="single" w:color="auto" w:sz="12" w:space="0"/>
                  </w:tcBorders>
                  <w:shd w:val="clear" w:color="auto" w:fill="auto"/>
                  <w:vAlign w:val="center"/>
                </w:tcPr>
                <w:p w14:paraId="2AE8BA9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主要</w:t>
                  </w:r>
                  <w:r>
                    <w:rPr>
                      <w:rFonts w:hint="default" w:ascii="Times New Roman" w:hAnsi="Times New Roman" w:cs="Times New Roman"/>
                      <w:b w:val="0"/>
                      <w:bCs w:val="0"/>
                      <w:color w:val="auto"/>
                      <w:sz w:val="21"/>
                      <w:szCs w:val="21"/>
                      <w:highlight w:val="none"/>
                    </w:rPr>
                    <w:t>排放口</w:t>
                  </w:r>
                </w:p>
              </w:tc>
              <w:tc>
                <w:tcPr>
                  <w:tcW w:w="1083" w:type="dxa"/>
                  <w:tcBorders>
                    <w:top w:val="single" w:color="auto" w:sz="4" w:space="0"/>
                    <w:bottom w:val="single" w:color="auto" w:sz="12" w:space="0"/>
                  </w:tcBorders>
                  <w:vAlign w:val="center"/>
                </w:tcPr>
                <w:p w14:paraId="5132293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44.871971</w:t>
                  </w:r>
                </w:p>
              </w:tc>
              <w:tc>
                <w:tcPr>
                  <w:tcW w:w="1050" w:type="dxa"/>
                  <w:tcBorders>
                    <w:top w:val="single" w:color="auto" w:sz="4" w:space="0"/>
                    <w:bottom w:val="single" w:color="auto" w:sz="12" w:space="0"/>
                  </w:tcBorders>
                  <w:vAlign w:val="center"/>
                </w:tcPr>
                <w:p w14:paraId="335F228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84.820093</w:t>
                  </w:r>
                </w:p>
              </w:tc>
              <w:tc>
                <w:tcPr>
                  <w:tcW w:w="1796" w:type="dxa"/>
                  <w:vMerge w:val="continue"/>
                  <w:tcBorders>
                    <w:bottom w:val="single" w:color="auto" w:sz="12" w:space="0"/>
                  </w:tcBorders>
                  <w:vAlign w:val="center"/>
                </w:tcPr>
                <w:p w14:paraId="3DD8EAB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p>
              </w:tc>
            </w:tr>
          </w:tbl>
          <w:p w14:paraId="4C43DFD4">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1.4 非正常情况分析</w:t>
            </w:r>
          </w:p>
          <w:p w14:paraId="08E542F6">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结合源强核算指南，本次非正常工况考虑锅炉烟气处理设施故障导致不能正常使用，除尘效率按0%、</w:t>
            </w:r>
            <w:r>
              <w:rPr>
                <w:rFonts w:hint="eastAsia" w:cs="Times New Roman"/>
                <w:color w:val="auto"/>
                <w:sz w:val="24"/>
                <w:szCs w:val="24"/>
                <w:highlight w:val="none"/>
                <w:lang w:val="en-US" w:eastAsia="zh-CN"/>
              </w:rPr>
              <w:t>低氮燃烧按</w:t>
            </w:r>
            <w:r>
              <w:rPr>
                <w:rFonts w:hint="default" w:ascii="Times New Roman" w:hAnsi="Times New Roman" w:cs="Times New Roman"/>
                <w:color w:val="auto"/>
                <w:sz w:val="24"/>
                <w:szCs w:val="24"/>
                <w:highlight w:val="none"/>
                <w:lang w:val="en-US" w:eastAsia="zh-CN"/>
              </w:rPr>
              <w:t>0%、脱硫效率按0%计算，非正常工况持续时间2h，则非正常工况下污染物排放情况见下表4-6。</w:t>
            </w:r>
          </w:p>
          <w:p w14:paraId="5F9B460B">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表4-6   非正常工况下污染物排放情况</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1"/>
              <w:gridCol w:w="1021"/>
              <w:gridCol w:w="904"/>
              <w:gridCol w:w="1140"/>
              <w:gridCol w:w="1180"/>
              <w:gridCol w:w="1084"/>
              <w:gridCol w:w="802"/>
            </w:tblGrid>
            <w:tr w14:paraId="1BF6C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624" w:type="pct"/>
                  <w:tcBorders>
                    <w:bottom w:val="single" w:color="auto" w:sz="12" w:space="0"/>
                  </w:tcBorders>
                  <w:vAlign w:val="center"/>
                </w:tcPr>
                <w:p w14:paraId="56FDCBE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排放口</w:t>
                  </w:r>
                </w:p>
              </w:tc>
              <w:tc>
                <w:tcPr>
                  <w:tcW w:w="624" w:type="pct"/>
                  <w:tcBorders>
                    <w:bottom w:val="single" w:color="auto" w:sz="12" w:space="0"/>
                  </w:tcBorders>
                  <w:vAlign w:val="center"/>
                </w:tcPr>
                <w:p w14:paraId="0A35D967">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污染物</w:t>
                  </w:r>
                </w:p>
                <w:p w14:paraId="219FEE0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名称</w:t>
                  </w:r>
                </w:p>
              </w:tc>
              <w:tc>
                <w:tcPr>
                  <w:tcW w:w="624" w:type="pct"/>
                  <w:tcBorders>
                    <w:bottom w:val="single" w:color="auto" w:sz="12" w:space="0"/>
                  </w:tcBorders>
                  <w:vAlign w:val="center"/>
                </w:tcPr>
                <w:p w14:paraId="059D385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排放量kg/h</w:t>
                  </w:r>
                </w:p>
              </w:tc>
              <w:tc>
                <w:tcPr>
                  <w:tcW w:w="553" w:type="pct"/>
                  <w:tcBorders>
                    <w:bottom w:val="single" w:color="auto" w:sz="12" w:space="0"/>
                  </w:tcBorders>
                  <w:vAlign w:val="center"/>
                </w:tcPr>
                <w:p w14:paraId="1447AE0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频率</w:t>
                  </w:r>
                </w:p>
              </w:tc>
              <w:tc>
                <w:tcPr>
                  <w:tcW w:w="697" w:type="pct"/>
                  <w:tcBorders>
                    <w:bottom w:val="single" w:color="auto" w:sz="12" w:space="0"/>
                  </w:tcBorders>
                  <w:vAlign w:val="center"/>
                </w:tcPr>
                <w:p w14:paraId="714402A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持续时间/h</w:t>
                  </w:r>
                </w:p>
              </w:tc>
              <w:tc>
                <w:tcPr>
                  <w:tcW w:w="721" w:type="pct"/>
                  <w:tcBorders>
                    <w:bottom w:val="single" w:color="auto" w:sz="12" w:space="0"/>
                  </w:tcBorders>
                  <w:vAlign w:val="center"/>
                </w:tcPr>
                <w:p w14:paraId="33373D2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排放浓度mg/m³</w:t>
                  </w:r>
                </w:p>
              </w:tc>
              <w:tc>
                <w:tcPr>
                  <w:tcW w:w="663" w:type="pct"/>
                  <w:tcBorders>
                    <w:bottom w:val="single" w:color="auto" w:sz="12" w:space="0"/>
                  </w:tcBorders>
                  <w:vAlign w:val="center"/>
                </w:tcPr>
                <w:p w14:paraId="0F6DDDD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浓度标准mg/m³</w:t>
                  </w:r>
                </w:p>
              </w:tc>
              <w:tc>
                <w:tcPr>
                  <w:tcW w:w="490" w:type="pct"/>
                  <w:tcBorders>
                    <w:bottom w:val="single" w:color="auto" w:sz="12" w:space="0"/>
                  </w:tcBorders>
                  <w:vAlign w:val="center"/>
                </w:tcPr>
                <w:p w14:paraId="470B222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达标情况</w:t>
                  </w:r>
                </w:p>
              </w:tc>
            </w:tr>
            <w:tr w14:paraId="64CC3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24" w:type="pct"/>
                  <w:vMerge w:val="restart"/>
                  <w:tcBorders>
                    <w:top w:val="single" w:color="auto" w:sz="12" w:space="0"/>
                    <w:tl2br w:val="nil"/>
                    <w:tr2bl w:val="nil"/>
                  </w:tcBorders>
                  <w:vAlign w:val="center"/>
                </w:tcPr>
                <w:p w14:paraId="4B59A6E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DA001</w:t>
                  </w:r>
                </w:p>
              </w:tc>
              <w:tc>
                <w:tcPr>
                  <w:tcW w:w="624" w:type="pct"/>
                  <w:tcBorders>
                    <w:top w:val="single" w:color="auto" w:sz="12" w:space="0"/>
                    <w:tl2br w:val="nil"/>
                    <w:tr2bl w:val="nil"/>
                  </w:tcBorders>
                  <w:vAlign w:val="center"/>
                </w:tcPr>
                <w:p w14:paraId="089B05B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颗粒物</w:t>
                  </w:r>
                </w:p>
              </w:tc>
              <w:tc>
                <w:tcPr>
                  <w:tcW w:w="624" w:type="pct"/>
                  <w:tcBorders>
                    <w:top w:val="single" w:color="auto" w:sz="12" w:space="0"/>
                    <w:tl2br w:val="nil"/>
                    <w:tr2bl w:val="nil"/>
                  </w:tcBorders>
                  <w:vAlign w:val="center"/>
                </w:tcPr>
                <w:p w14:paraId="5156CC7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69</w:t>
                  </w:r>
                </w:p>
              </w:tc>
              <w:tc>
                <w:tcPr>
                  <w:tcW w:w="553" w:type="pct"/>
                  <w:tcBorders>
                    <w:top w:val="single" w:color="auto" w:sz="12" w:space="0"/>
                    <w:tl2br w:val="nil"/>
                    <w:tr2bl w:val="nil"/>
                  </w:tcBorders>
                  <w:vAlign w:val="center"/>
                </w:tcPr>
                <w:p w14:paraId="66E007A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op w:val="single" w:color="auto" w:sz="12" w:space="0"/>
                    <w:tl2br w:val="nil"/>
                    <w:tr2bl w:val="nil"/>
                  </w:tcBorders>
                  <w:vAlign w:val="center"/>
                </w:tcPr>
                <w:p w14:paraId="209DA08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op w:val="single" w:color="auto" w:sz="12" w:space="0"/>
                    <w:tl2br w:val="nil"/>
                    <w:tr2bl w:val="nil"/>
                  </w:tcBorders>
                  <w:shd w:val="clear" w:color="auto" w:fill="auto"/>
                  <w:vAlign w:val="center"/>
                </w:tcPr>
                <w:p w14:paraId="475A69F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80.13</w:t>
                  </w:r>
                </w:p>
              </w:tc>
              <w:tc>
                <w:tcPr>
                  <w:tcW w:w="663" w:type="pct"/>
                  <w:tcBorders>
                    <w:top w:val="single" w:color="auto" w:sz="12" w:space="0"/>
                    <w:tl2br w:val="nil"/>
                    <w:tr2bl w:val="nil"/>
                  </w:tcBorders>
                  <w:vAlign w:val="center"/>
                </w:tcPr>
                <w:p w14:paraId="6D9A004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w:t>
                  </w:r>
                </w:p>
              </w:tc>
              <w:tc>
                <w:tcPr>
                  <w:tcW w:w="490" w:type="pct"/>
                  <w:tcBorders>
                    <w:top w:val="single" w:color="auto" w:sz="12" w:space="0"/>
                    <w:tl2br w:val="nil"/>
                    <w:tr2bl w:val="nil"/>
                  </w:tcBorders>
                  <w:vAlign w:val="center"/>
                </w:tcPr>
                <w:p w14:paraId="5263D20B">
                  <w:pPr>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r w14:paraId="65F1DB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24" w:type="pct"/>
                  <w:vMerge w:val="continue"/>
                  <w:tcBorders>
                    <w:tl2br w:val="nil"/>
                    <w:tr2bl w:val="nil"/>
                  </w:tcBorders>
                  <w:vAlign w:val="center"/>
                </w:tcPr>
                <w:p w14:paraId="04B02CF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c>
                <w:tcPr>
                  <w:tcW w:w="624" w:type="pct"/>
                  <w:tcBorders>
                    <w:tl2br w:val="nil"/>
                    <w:tr2bl w:val="nil"/>
                  </w:tcBorders>
                  <w:vAlign w:val="center"/>
                </w:tcPr>
                <w:p w14:paraId="2986A61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SO</w:t>
                  </w:r>
                  <w:r>
                    <w:rPr>
                      <w:rFonts w:hint="default" w:ascii="Times New Roman" w:hAnsi="Times New Roman" w:cs="Times New Roman"/>
                      <w:b w:val="0"/>
                      <w:bCs w:val="0"/>
                      <w:color w:val="auto"/>
                      <w:sz w:val="21"/>
                      <w:szCs w:val="21"/>
                      <w:highlight w:val="none"/>
                      <w:vertAlign w:val="subscript"/>
                      <w:lang w:val="en-US" w:eastAsia="zh-CN"/>
                    </w:rPr>
                    <w:t>2</w:t>
                  </w:r>
                </w:p>
              </w:tc>
              <w:tc>
                <w:tcPr>
                  <w:tcW w:w="624" w:type="pct"/>
                  <w:tcBorders>
                    <w:tl2br w:val="nil"/>
                    <w:tr2bl w:val="nil"/>
                  </w:tcBorders>
                  <w:vAlign w:val="center"/>
                </w:tcPr>
                <w:p w14:paraId="16F9B2A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2.84</w:t>
                  </w:r>
                </w:p>
              </w:tc>
              <w:tc>
                <w:tcPr>
                  <w:tcW w:w="553" w:type="pct"/>
                  <w:tcBorders>
                    <w:tl2br w:val="nil"/>
                    <w:tr2bl w:val="nil"/>
                  </w:tcBorders>
                  <w:vAlign w:val="center"/>
                </w:tcPr>
                <w:p w14:paraId="22377CC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l2br w:val="nil"/>
                    <w:tr2bl w:val="nil"/>
                  </w:tcBorders>
                  <w:vAlign w:val="center"/>
                </w:tcPr>
                <w:p w14:paraId="5CB8417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l2br w:val="nil"/>
                    <w:tr2bl w:val="nil"/>
                  </w:tcBorders>
                  <w:shd w:val="clear" w:color="auto" w:fill="auto"/>
                  <w:vAlign w:val="center"/>
                </w:tcPr>
                <w:p w14:paraId="4CD6BF6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326.9</w:t>
                  </w:r>
                </w:p>
              </w:tc>
              <w:tc>
                <w:tcPr>
                  <w:tcW w:w="663" w:type="pct"/>
                  <w:tcBorders>
                    <w:tl2br w:val="nil"/>
                    <w:tr2bl w:val="nil"/>
                  </w:tcBorders>
                  <w:vAlign w:val="center"/>
                </w:tcPr>
                <w:p w14:paraId="4E7B6B79">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w:t>
                  </w:r>
                </w:p>
              </w:tc>
              <w:tc>
                <w:tcPr>
                  <w:tcW w:w="490" w:type="pct"/>
                  <w:tcBorders>
                    <w:tl2br w:val="nil"/>
                    <w:tr2bl w:val="nil"/>
                  </w:tcBorders>
                  <w:vAlign w:val="center"/>
                </w:tcPr>
                <w:p w14:paraId="3E322691">
                  <w:pPr>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r w14:paraId="0F577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continue"/>
                  <w:tcBorders>
                    <w:tl2br w:val="nil"/>
                    <w:tr2bl w:val="nil"/>
                  </w:tcBorders>
                  <w:vAlign w:val="center"/>
                </w:tcPr>
                <w:p w14:paraId="290F8CD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c>
                <w:tcPr>
                  <w:tcW w:w="624" w:type="pct"/>
                  <w:tcBorders>
                    <w:tl2br w:val="nil"/>
                    <w:tr2bl w:val="nil"/>
                  </w:tcBorders>
                  <w:vAlign w:val="center"/>
                </w:tcPr>
                <w:p w14:paraId="7DF160C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NO</w:t>
                  </w:r>
                  <w:r>
                    <w:rPr>
                      <w:rFonts w:hint="default" w:ascii="Times New Roman" w:hAnsi="Times New Roman" w:cs="Times New Roman"/>
                      <w:b w:val="0"/>
                      <w:bCs w:val="0"/>
                      <w:color w:val="auto"/>
                      <w:sz w:val="21"/>
                      <w:szCs w:val="21"/>
                      <w:highlight w:val="none"/>
                      <w:vertAlign w:val="subscript"/>
                      <w:lang w:val="en-US" w:eastAsia="zh-CN"/>
                    </w:rPr>
                    <w:t>x</w:t>
                  </w:r>
                </w:p>
              </w:tc>
              <w:tc>
                <w:tcPr>
                  <w:tcW w:w="624" w:type="pct"/>
                  <w:tcBorders>
                    <w:tl2br w:val="nil"/>
                    <w:tr2bl w:val="nil"/>
                  </w:tcBorders>
                  <w:vAlign w:val="center"/>
                </w:tcPr>
                <w:p w14:paraId="19DBD25F">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1.42</w:t>
                  </w:r>
                </w:p>
              </w:tc>
              <w:tc>
                <w:tcPr>
                  <w:tcW w:w="553" w:type="pct"/>
                  <w:tcBorders>
                    <w:tl2br w:val="nil"/>
                    <w:tr2bl w:val="nil"/>
                  </w:tcBorders>
                  <w:vAlign w:val="center"/>
                </w:tcPr>
                <w:p w14:paraId="765EF1A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l2br w:val="nil"/>
                    <w:tr2bl w:val="nil"/>
                  </w:tcBorders>
                  <w:vAlign w:val="center"/>
                </w:tcPr>
                <w:p w14:paraId="43CB2AA5">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l2br w:val="nil"/>
                    <w:tr2bl w:val="nil"/>
                  </w:tcBorders>
                  <w:shd w:val="clear" w:color="auto" w:fill="auto"/>
                  <w:vAlign w:val="center"/>
                </w:tcPr>
                <w:p w14:paraId="5E98B85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163.4</w:t>
                  </w:r>
                </w:p>
              </w:tc>
              <w:tc>
                <w:tcPr>
                  <w:tcW w:w="663" w:type="pct"/>
                  <w:tcBorders>
                    <w:tl2br w:val="nil"/>
                    <w:tr2bl w:val="nil"/>
                  </w:tcBorders>
                  <w:vAlign w:val="center"/>
                </w:tcPr>
                <w:p w14:paraId="160ABB6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15</w:t>
                  </w:r>
                  <w:r>
                    <w:rPr>
                      <w:rFonts w:hint="default" w:ascii="Times New Roman" w:hAnsi="Times New Roman" w:cs="Times New Roman"/>
                      <w:b w:val="0"/>
                      <w:bCs w:val="0"/>
                      <w:color w:val="auto"/>
                      <w:sz w:val="21"/>
                      <w:szCs w:val="21"/>
                      <w:highlight w:val="none"/>
                      <w:lang w:val="en-US" w:eastAsia="zh-CN"/>
                    </w:rPr>
                    <w:t>0</w:t>
                  </w:r>
                </w:p>
              </w:tc>
              <w:tc>
                <w:tcPr>
                  <w:tcW w:w="490" w:type="pct"/>
                  <w:tcBorders>
                    <w:tl2br w:val="nil"/>
                    <w:tr2bl w:val="nil"/>
                  </w:tcBorders>
                  <w:vAlign w:val="center"/>
                </w:tcPr>
                <w:p w14:paraId="1C8236D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r w14:paraId="71AF7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restart"/>
                  <w:tcBorders>
                    <w:tl2br w:val="nil"/>
                    <w:tr2bl w:val="nil"/>
                  </w:tcBorders>
                  <w:shd w:val="clear" w:color="auto" w:fill="auto"/>
                  <w:vAlign w:val="center"/>
                </w:tcPr>
                <w:p w14:paraId="5FDFA1A6">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DA001</w:t>
                  </w:r>
                </w:p>
                <w:p w14:paraId="6CF656E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c>
                <w:tcPr>
                  <w:tcW w:w="624" w:type="pct"/>
                  <w:tcBorders>
                    <w:tl2br w:val="nil"/>
                    <w:tr2bl w:val="nil"/>
                  </w:tcBorders>
                  <w:shd w:val="clear" w:color="auto" w:fill="auto"/>
                  <w:vAlign w:val="center"/>
                </w:tcPr>
                <w:p w14:paraId="7DA7B8B2">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颗粒物</w:t>
                  </w:r>
                </w:p>
              </w:tc>
              <w:tc>
                <w:tcPr>
                  <w:tcW w:w="624" w:type="pct"/>
                  <w:tcBorders>
                    <w:tl2br w:val="nil"/>
                    <w:tr2bl w:val="nil"/>
                  </w:tcBorders>
                  <w:shd w:val="clear" w:color="auto" w:fill="auto"/>
                  <w:vAlign w:val="center"/>
                </w:tcPr>
                <w:p w14:paraId="40768465">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69</w:t>
                  </w:r>
                </w:p>
              </w:tc>
              <w:tc>
                <w:tcPr>
                  <w:tcW w:w="553" w:type="pct"/>
                  <w:tcBorders>
                    <w:tl2br w:val="nil"/>
                    <w:tr2bl w:val="nil"/>
                  </w:tcBorders>
                  <w:vAlign w:val="center"/>
                </w:tcPr>
                <w:p w14:paraId="3CF4B3E4">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l2br w:val="nil"/>
                    <w:tr2bl w:val="nil"/>
                  </w:tcBorders>
                  <w:vAlign w:val="center"/>
                </w:tcPr>
                <w:p w14:paraId="1A1DBA12">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l2br w:val="nil"/>
                    <w:tr2bl w:val="nil"/>
                  </w:tcBorders>
                  <w:shd w:val="clear" w:color="auto" w:fill="auto"/>
                  <w:vAlign w:val="center"/>
                </w:tcPr>
                <w:p w14:paraId="60DF899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80.13</w:t>
                  </w:r>
                </w:p>
              </w:tc>
              <w:tc>
                <w:tcPr>
                  <w:tcW w:w="663" w:type="pct"/>
                  <w:tcBorders>
                    <w:tl2br w:val="nil"/>
                    <w:tr2bl w:val="nil"/>
                  </w:tcBorders>
                  <w:vAlign w:val="center"/>
                </w:tcPr>
                <w:p w14:paraId="139F17B9">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w:t>
                  </w:r>
                </w:p>
              </w:tc>
              <w:tc>
                <w:tcPr>
                  <w:tcW w:w="490" w:type="pct"/>
                  <w:tcBorders>
                    <w:tl2br w:val="nil"/>
                    <w:tr2bl w:val="nil"/>
                  </w:tcBorders>
                  <w:vAlign w:val="center"/>
                </w:tcPr>
                <w:p w14:paraId="2C1D89F4">
                  <w:pPr>
                    <w:keepNext w:val="0"/>
                    <w:keepLines w:val="0"/>
                    <w:suppressLineNumbers w:val="0"/>
                    <w:bidi w:val="0"/>
                    <w:spacing w:before="0" w:beforeAutospacing="0" w:after="0" w:afterAutospacing="0"/>
                    <w:ind w:right="0" w:rightChars="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r w14:paraId="365D3F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continue"/>
                  <w:tcBorders>
                    <w:tl2br w:val="nil"/>
                    <w:tr2bl w:val="nil"/>
                  </w:tcBorders>
                  <w:vAlign w:val="center"/>
                </w:tcPr>
                <w:p w14:paraId="5E187A70">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c>
                <w:tcPr>
                  <w:tcW w:w="624" w:type="pct"/>
                  <w:tcBorders>
                    <w:tl2br w:val="nil"/>
                    <w:tr2bl w:val="nil"/>
                  </w:tcBorders>
                  <w:shd w:val="clear" w:color="auto" w:fill="auto"/>
                  <w:vAlign w:val="center"/>
                </w:tcPr>
                <w:p w14:paraId="31080B66">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SO</w:t>
                  </w:r>
                  <w:r>
                    <w:rPr>
                      <w:rFonts w:hint="default" w:ascii="Times New Roman" w:hAnsi="Times New Roman" w:cs="Times New Roman"/>
                      <w:b w:val="0"/>
                      <w:bCs w:val="0"/>
                      <w:color w:val="auto"/>
                      <w:sz w:val="21"/>
                      <w:szCs w:val="21"/>
                      <w:highlight w:val="none"/>
                      <w:vertAlign w:val="subscript"/>
                      <w:lang w:val="en-US" w:eastAsia="zh-CN"/>
                    </w:rPr>
                    <w:t>2</w:t>
                  </w:r>
                </w:p>
              </w:tc>
              <w:tc>
                <w:tcPr>
                  <w:tcW w:w="624" w:type="pct"/>
                  <w:tcBorders>
                    <w:tl2br w:val="nil"/>
                    <w:tr2bl w:val="nil"/>
                  </w:tcBorders>
                  <w:shd w:val="clear" w:color="auto" w:fill="auto"/>
                  <w:vAlign w:val="center"/>
                </w:tcPr>
                <w:p w14:paraId="4100622F">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2.84</w:t>
                  </w:r>
                </w:p>
              </w:tc>
              <w:tc>
                <w:tcPr>
                  <w:tcW w:w="553" w:type="pct"/>
                  <w:tcBorders>
                    <w:tl2br w:val="nil"/>
                    <w:tr2bl w:val="nil"/>
                  </w:tcBorders>
                  <w:vAlign w:val="center"/>
                </w:tcPr>
                <w:p w14:paraId="3A7D213B">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l2br w:val="nil"/>
                    <w:tr2bl w:val="nil"/>
                  </w:tcBorders>
                  <w:vAlign w:val="center"/>
                </w:tcPr>
                <w:p w14:paraId="177BCB27">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l2br w:val="nil"/>
                    <w:tr2bl w:val="nil"/>
                  </w:tcBorders>
                  <w:shd w:val="clear" w:color="auto" w:fill="auto"/>
                  <w:vAlign w:val="center"/>
                </w:tcPr>
                <w:p w14:paraId="62DE741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326.9</w:t>
                  </w:r>
                </w:p>
              </w:tc>
              <w:tc>
                <w:tcPr>
                  <w:tcW w:w="663" w:type="pct"/>
                  <w:tcBorders>
                    <w:tl2br w:val="nil"/>
                    <w:tr2bl w:val="nil"/>
                  </w:tcBorders>
                  <w:vAlign w:val="center"/>
                </w:tcPr>
                <w:p w14:paraId="5A103522">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w:t>
                  </w:r>
                </w:p>
              </w:tc>
              <w:tc>
                <w:tcPr>
                  <w:tcW w:w="490" w:type="pct"/>
                  <w:tcBorders>
                    <w:tl2br w:val="nil"/>
                    <w:tr2bl w:val="nil"/>
                  </w:tcBorders>
                  <w:vAlign w:val="center"/>
                </w:tcPr>
                <w:p w14:paraId="335F5BC0">
                  <w:pPr>
                    <w:keepNext w:val="0"/>
                    <w:keepLines w:val="0"/>
                    <w:suppressLineNumbers w:val="0"/>
                    <w:bidi w:val="0"/>
                    <w:spacing w:before="0" w:beforeAutospacing="0" w:after="0" w:afterAutospacing="0"/>
                    <w:ind w:right="0" w:rightChars="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r w14:paraId="216CE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pct"/>
                  <w:vMerge w:val="continue"/>
                  <w:tcBorders>
                    <w:tl2br w:val="nil"/>
                    <w:tr2bl w:val="nil"/>
                  </w:tcBorders>
                  <w:vAlign w:val="center"/>
                </w:tcPr>
                <w:p w14:paraId="29293F7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p>
              </w:tc>
              <w:tc>
                <w:tcPr>
                  <w:tcW w:w="624" w:type="pct"/>
                  <w:tcBorders>
                    <w:tl2br w:val="nil"/>
                    <w:tr2bl w:val="nil"/>
                  </w:tcBorders>
                  <w:shd w:val="clear" w:color="auto" w:fill="auto"/>
                  <w:vAlign w:val="center"/>
                </w:tcPr>
                <w:p w14:paraId="419DACD3">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NO</w:t>
                  </w:r>
                  <w:r>
                    <w:rPr>
                      <w:rFonts w:hint="default" w:ascii="Times New Roman" w:hAnsi="Times New Roman" w:cs="Times New Roman"/>
                      <w:b w:val="0"/>
                      <w:bCs w:val="0"/>
                      <w:color w:val="auto"/>
                      <w:sz w:val="21"/>
                      <w:szCs w:val="21"/>
                      <w:highlight w:val="none"/>
                      <w:vertAlign w:val="subscript"/>
                      <w:lang w:val="en-US" w:eastAsia="zh-CN"/>
                    </w:rPr>
                    <w:t>x</w:t>
                  </w:r>
                </w:p>
              </w:tc>
              <w:tc>
                <w:tcPr>
                  <w:tcW w:w="624" w:type="pct"/>
                  <w:tcBorders>
                    <w:tl2br w:val="nil"/>
                    <w:tr2bl w:val="nil"/>
                  </w:tcBorders>
                  <w:shd w:val="clear" w:color="auto" w:fill="auto"/>
                  <w:vAlign w:val="center"/>
                </w:tcPr>
                <w:p w14:paraId="7F7CFC65">
                  <w:pPr>
                    <w:pStyle w:val="35"/>
                    <w:keepNext w:val="0"/>
                    <w:keepLines w:val="0"/>
                    <w:suppressLineNumbers w:val="0"/>
                    <w:bidi w:val="0"/>
                    <w:spacing w:before="0" w:beforeAutospacing="0" w:after="0" w:afterAutospacing="0"/>
                    <w:ind w:right="0" w:right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1.42</w:t>
                  </w:r>
                </w:p>
              </w:tc>
              <w:tc>
                <w:tcPr>
                  <w:tcW w:w="553" w:type="pct"/>
                  <w:tcBorders>
                    <w:tl2br w:val="nil"/>
                    <w:tr2bl w:val="nil"/>
                  </w:tcBorders>
                  <w:vAlign w:val="center"/>
                </w:tcPr>
                <w:p w14:paraId="6D6C423F">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1次/a</w:t>
                  </w:r>
                </w:p>
              </w:tc>
              <w:tc>
                <w:tcPr>
                  <w:tcW w:w="697" w:type="pct"/>
                  <w:tcBorders>
                    <w:tl2br w:val="nil"/>
                    <w:tr2bl w:val="nil"/>
                  </w:tcBorders>
                  <w:vAlign w:val="center"/>
                </w:tcPr>
                <w:p w14:paraId="73A3C94E">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721" w:type="pct"/>
                  <w:tcBorders>
                    <w:tl2br w:val="nil"/>
                    <w:tr2bl w:val="nil"/>
                  </w:tcBorders>
                  <w:shd w:val="clear" w:color="auto" w:fill="auto"/>
                  <w:vAlign w:val="center"/>
                </w:tcPr>
                <w:p w14:paraId="3B1C1EC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163.4</w:t>
                  </w:r>
                </w:p>
              </w:tc>
              <w:tc>
                <w:tcPr>
                  <w:tcW w:w="663" w:type="pct"/>
                  <w:tcBorders>
                    <w:tl2br w:val="nil"/>
                    <w:tr2bl w:val="nil"/>
                  </w:tcBorders>
                  <w:vAlign w:val="center"/>
                </w:tcPr>
                <w:p w14:paraId="4B104463">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15</w:t>
                  </w:r>
                  <w:r>
                    <w:rPr>
                      <w:rFonts w:hint="default" w:ascii="Times New Roman" w:hAnsi="Times New Roman" w:cs="Times New Roman"/>
                      <w:b w:val="0"/>
                      <w:bCs w:val="0"/>
                      <w:color w:val="auto"/>
                      <w:sz w:val="21"/>
                      <w:szCs w:val="21"/>
                      <w:highlight w:val="none"/>
                      <w:lang w:val="en-US" w:eastAsia="zh-CN"/>
                    </w:rPr>
                    <w:t>0</w:t>
                  </w:r>
                </w:p>
              </w:tc>
              <w:tc>
                <w:tcPr>
                  <w:tcW w:w="490" w:type="pct"/>
                  <w:tcBorders>
                    <w:tl2br w:val="nil"/>
                    <w:tr2bl w:val="nil"/>
                  </w:tcBorders>
                  <w:vAlign w:val="center"/>
                </w:tcPr>
                <w:p w14:paraId="60B3C1BF">
                  <w:pPr>
                    <w:pStyle w:val="35"/>
                    <w:keepNext w:val="0"/>
                    <w:keepLines w:val="0"/>
                    <w:suppressLineNumbers w:val="0"/>
                    <w:bidi w:val="0"/>
                    <w:spacing w:before="0" w:beforeAutospacing="0" w:after="0" w:afterAutospacing="0"/>
                    <w:ind w:right="0" w:right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达标</w:t>
                  </w:r>
                </w:p>
              </w:tc>
            </w:tr>
          </w:tbl>
          <w:p w14:paraId="07DBD99A">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非正常工况下，本项目烟囱出口颗粒物、二氧化硫、氮氧化物排放浓度均</w:t>
            </w:r>
            <w:r>
              <w:rPr>
                <w:rFonts w:hint="eastAsia" w:cs="Times New Roman"/>
                <w:color w:val="auto"/>
                <w:sz w:val="24"/>
                <w:szCs w:val="24"/>
                <w:highlight w:val="none"/>
                <w:lang w:val="en-US" w:eastAsia="zh-CN"/>
              </w:rPr>
              <w:t>超过</w:t>
            </w:r>
            <w:r>
              <w:rPr>
                <w:rFonts w:hint="default" w:ascii="Times New Roman" w:hAnsi="Times New Roman" w:cs="Times New Roman"/>
                <w:color w:val="auto"/>
                <w:sz w:val="24"/>
                <w:szCs w:val="24"/>
                <w:highlight w:val="none"/>
                <w:lang w:val="en-US" w:eastAsia="zh-CN"/>
              </w:rPr>
              <w:t>《锅炉大气污染物排放标准》（GB13271-2014）燃气锅炉大气污染物</w:t>
            </w:r>
            <w:r>
              <w:rPr>
                <w:rFonts w:hint="eastAsia" w:cs="Times New Roman"/>
                <w:color w:val="auto"/>
                <w:sz w:val="24"/>
                <w:szCs w:val="24"/>
                <w:highlight w:val="none"/>
                <w:lang w:val="en-US" w:eastAsia="zh-CN"/>
              </w:rPr>
              <w:t>特别</w:t>
            </w:r>
            <w:r>
              <w:rPr>
                <w:rFonts w:hint="default" w:ascii="Times New Roman" w:hAnsi="Times New Roman" w:cs="Times New Roman"/>
                <w:color w:val="auto"/>
                <w:sz w:val="24"/>
                <w:szCs w:val="24"/>
                <w:highlight w:val="none"/>
                <w:lang w:val="en-US" w:eastAsia="zh-CN"/>
              </w:rPr>
              <w:t>排放限值</w:t>
            </w:r>
            <w:r>
              <w:rPr>
                <w:rFonts w:hint="eastAsia"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w:t>
            </w:r>
          </w:p>
          <w:p w14:paraId="5D4F7AAA">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建设单位应强化厂区运行管理、定期对</w:t>
            </w:r>
            <w:r>
              <w:rPr>
                <w:rFonts w:hint="eastAsia" w:cs="Times New Roman"/>
                <w:color w:val="auto"/>
                <w:sz w:val="24"/>
                <w:szCs w:val="24"/>
                <w:highlight w:val="none"/>
                <w:lang w:val="en-US" w:eastAsia="zh-CN"/>
              </w:rPr>
              <w:t>热风炉燃烧器、</w:t>
            </w:r>
            <w:r>
              <w:rPr>
                <w:rFonts w:hint="default" w:ascii="Times New Roman" w:hAnsi="Times New Roman" w:cs="Times New Roman"/>
                <w:color w:val="auto"/>
                <w:sz w:val="24"/>
                <w:szCs w:val="24"/>
                <w:highlight w:val="none"/>
                <w:lang w:val="en-US" w:eastAsia="zh-CN"/>
              </w:rPr>
              <w:t>除尘器及脱硫设施进行检修，降低非正常工况的发生频次，减少非正常工况的持续时间。为保证</w:t>
            </w:r>
            <w:r>
              <w:rPr>
                <w:rFonts w:hint="eastAsia" w:cs="Times New Roman"/>
                <w:color w:val="auto"/>
                <w:sz w:val="24"/>
                <w:szCs w:val="24"/>
                <w:highlight w:val="none"/>
                <w:lang w:val="en-US" w:eastAsia="zh-CN"/>
              </w:rPr>
              <w:t>热风炉燃烧器、</w:t>
            </w:r>
            <w:r>
              <w:rPr>
                <w:rFonts w:hint="default" w:ascii="Times New Roman" w:hAnsi="Times New Roman" w:cs="Times New Roman"/>
                <w:color w:val="auto"/>
                <w:sz w:val="24"/>
                <w:szCs w:val="24"/>
                <w:highlight w:val="none"/>
                <w:lang w:val="en-US" w:eastAsia="zh-CN"/>
              </w:rPr>
              <w:t>脱硫、除尘设施的正常运行，应采取如下预防措施：</w:t>
            </w:r>
          </w:p>
          <w:p w14:paraId="1F323A2B">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（1）加强对热风炉操作人员岗位培训，使其熟练掌握脱硫及除尘的操作规程和技术。熟悉</w:t>
            </w:r>
            <w:r>
              <w:rPr>
                <w:rFonts w:hint="eastAsia" w:cs="Times New Roman"/>
                <w:color w:val="auto"/>
                <w:sz w:val="24"/>
                <w:szCs w:val="24"/>
                <w:highlight w:val="none"/>
                <w:lang w:val="en-US" w:eastAsia="zh-CN"/>
              </w:rPr>
              <w:t>热风炉燃烧器、</w:t>
            </w:r>
            <w:r>
              <w:rPr>
                <w:rFonts w:hint="default" w:ascii="Times New Roman" w:hAnsi="Times New Roman" w:cs="Times New Roman"/>
                <w:color w:val="auto"/>
                <w:sz w:val="24"/>
                <w:szCs w:val="24"/>
                <w:highlight w:val="none"/>
                <w:lang w:val="en-US" w:eastAsia="zh-CN"/>
              </w:rPr>
              <w:t>除尘器、脱硫设施的维护和维修，确保设施效率满足达标排放的要求。</w:t>
            </w:r>
          </w:p>
          <w:p w14:paraId="79488594">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（2）应积极联系脱硫剂供应的备选企业，保证充足供应。</w:t>
            </w:r>
          </w:p>
          <w:p w14:paraId="1C534464">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（3）加强企业的运行管理，通过规章制度约束工人按操作规程工作。</w:t>
            </w:r>
          </w:p>
          <w:p w14:paraId="030D3B6D">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（4）如果</w:t>
            </w:r>
            <w:bookmarkStart w:id="60" w:name="hmcheck_d313d701f867493db7612cc4550eac72"/>
            <w:r>
              <w:rPr>
                <w:rFonts w:hint="default" w:ascii="Times New Roman" w:hAnsi="Times New Roman" w:cs="Times New Roman"/>
                <w:color w:val="auto"/>
                <w:sz w:val="24"/>
                <w:szCs w:val="24"/>
                <w:highlight w:val="none"/>
                <w:lang w:val="en-US" w:eastAsia="zh-CN"/>
              </w:rPr>
              <w:t>炉</w:t>
            </w:r>
            <w:bookmarkEnd w:id="60"/>
            <w:r>
              <w:rPr>
                <w:rFonts w:hint="default" w:ascii="Times New Roman" w:hAnsi="Times New Roman" w:cs="Times New Roman"/>
                <w:color w:val="auto"/>
                <w:sz w:val="24"/>
                <w:szCs w:val="24"/>
                <w:highlight w:val="none"/>
                <w:lang w:val="en-US" w:eastAsia="zh-CN"/>
              </w:rPr>
              <w:t>后脱硫设施设施或除尘器发生事故，应视情况停炉检修，避免对周围环境造成污染。</w:t>
            </w:r>
          </w:p>
          <w:p w14:paraId="4131D867">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1.5 大气污染物监测</w:t>
            </w:r>
          </w:p>
          <w:p w14:paraId="45213824">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rPr>
              <w:t>营运期</w:t>
            </w:r>
            <w:r>
              <w:rPr>
                <w:rFonts w:hint="default" w:ascii="Times New Roman" w:hAnsi="Times New Roman" w:cs="Times New Roman"/>
                <w:color w:val="auto"/>
                <w:sz w:val="24"/>
                <w:szCs w:val="24"/>
                <w:highlight w:val="none"/>
                <w:lang w:val="en-US" w:eastAsia="zh-CN"/>
              </w:rPr>
              <w:t>大气</w:t>
            </w:r>
            <w:r>
              <w:rPr>
                <w:rFonts w:hint="default" w:ascii="Times New Roman" w:hAnsi="Times New Roman" w:cs="Times New Roman"/>
                <w:color w:val="auto"/>
                <w:sz w:val="24"/>
                <w:szCs w:val="24"/>
                <w:highlight w:val="none"/>
              </w:rPr>
              <w:t>污染物监测方案计划见</w:t>
            </w:r>
            <w:r>
              <w:rPr>
                <w:rFonts w:hint="default" w:ascii="Times New Roman" w:hAnsi="Times New Roman" w:cs="Times New Roman"/>
                <w:color w:val="auto"/>
                <w:sz w:val="24"/>
                <w:szCs w:val="24"/>
                <w:highlight w:val="none"/>
                <w:lang w:eastAsia="zh-CN"/>
              </w:rPr>
              <w:t>下</w:t>
            </w:r>
            <w:r>
              <w:rPr>
                <w:rFonts w:hint="default" w:ascii="Times New Roman" w:hAnsi="Times New Roman" w:cs="Times New Roman"/>
                <w:color w:val="auto"/>
                <w:sz w:val="24"/>
                <w:szCs w:val="24"/>
                <w:highlight w:val="none"/>
              </w:rPr>
              <w:t>表</w:t>
            </w:r>
            <w:r>
              <w:rPr>
                <w:rFonts w:hint="default" w:ascii="Times New Roman" w:hAnsi="Times New Roman" w:cs="Times New Roman"/>
                <w:color w:val="auto"/>
                <w:sz w:val="24"/>
                <w:szCs w:val="24"/>
                <w:highlight w:val="none"/>
                <w:lang w:val="en-US" w:eastAsia="zh-CN"/>
              </w:rPr>
              <w:t>4-7。</w:t>
            </w:r>
          </w:p>
          <w:p w14:paraId="198B2A7A">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表4-7   运营期大气污染物监测计划表</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809"/>
              <w:gridCol w:w="1406"/>
              <w:gridCol w:w="3841"/>
            </w:tblGrid>
            <w:tr w14:paraId="2D31F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4" w:type="dxa"/>
                  <w:tcBorders>
                    <w:bottom w:val="single" w:color="auto" w:sz="12" w:space="0"/>
                  </w:tcBorders>
                  <w:vAlign w:val="center"/>
                </w:tcPr>
                <w:p w14:paraId="25BB3262">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监测点位</w:t>
                  </w:r>
                </w:p>
              </w:tc>
              <w:tc>
                <w:tcPr>
                  <w:tcW w:w="1809" w:type="dxa"/>
                  <w:tcBorders>
                    <w:bottom w:val="single" w:color="auto" w:sz="12" w:space="0"/>
                  </w:tcBorders>
                  <w:vAlign w:val="center"/>
                </w:tcPr>
                <w:p w14:paraId="73EDAB6B">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监测</w:t>
                  </w:r>
                  <w:r>
                    <w:rPr>
                      <w:rFonts w:hint="default" w:ascii="Times New Roman" w:hAnsi="Times New Roman" w:cs="Times New Roman"/>
                      <w:b w:val="0"/>
                      <w:bCs w:val="0"/>
                      <w:color w:val="auto"/>
                      <w:sz w:val="21"/>
                      <w:szCs w:val="21"/>
                      <w:highlight w:val="none"/>
                      <w:lang w:eastAsia="zh-CN"/>
                    </w:rPr>
                    <w:t>因子</w:t>
                  </w:r>
                </w:p>
              </w:tc>
              <w:tc>
                <w:tcPr>
                  <w:tcW w:w="1406" w:type="dxa"/>
                  <w:tcBorders>
                    <w:bottom w:val="single" w:color="auto" w:sz="12" w:space="0"/>
                  </w:tcBorders>
                  <w:vAlign w:val="center"/>
                </w:tcPr>
                <w:p w14:paraId="05C8F5CE">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监测频次</w:t>
                  </w:r>
                </w:p>
              </w:tc>
              <w:tc>
                <w:tcPr>
                  <w:tcW w:w="3841" w:type="dxa"/>
                  <w:tcBorders>
                    <w:bottom w:val="single" w:color="auto" w:sz="12" w:space="0"/>
                  </w:tcBorders>
                  <w:vAlign w:val="center"/>
                </w:tcPr>
                <w:p w14:paraId="6953B89A">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执行排放标准</w:t>
                  </w:r>
                </w:p>
              </w:tc>
            </w:tr>
            <w:tr w14:paraId="61FEC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4" w:type="dxa"/>
                  <w:tcBorders>
                    <w:top w:val="single" w:color="auto" w:sz="12" w:space="0"/>
                  </w:tcBorders>
                  <w:vAlign w:val="center"/>
                </w:tcPr>
                <w:p w14:paraId="5D2943B4">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烟囱预留监测平台</w:t>
                  </w:r>
                </w:p>
              </w:tc>
              <w:tc>
                <w:tcPr>
                  <w:tcW w:w="1809" w:type="dxa"/>
                  <w:tcBorders>
                    <w:top w:val="single" w:color="auto" w:sz="12" w:space="0"/>
                  </w:tcBorders>
                  <w:vAlign w:val="center"/>
                </w:tcPr>
                <w:p w14:paraId="55AD280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颗粒物、</w:t>
                  </w:r>
                  <w:r>
                    <w:rPr>
                      <w:rFonts w:hint="default" w:ascii="Times New Roman" w:hAnsi="Times New Roman" w:cs="Times New Roman"/>
                      <w:b w:val="0"/>
                      <w:bCs w:val="0"/>
                      <w:color w:val="auto"/>
                      <w:sz w:val="21"/>
                      <w:szCs w:val="21"/>
                      <w:highlight w:val="none"/>
                    </w:rPr>
                    <w:t>SO</w:t>
                  </w:r>
                  <w:r>
                    <w:rPr>
                      <w:rFonts w:hint="default" w:ascii="Times New Roman" w:hAnsi="Times New Roman" w:cs="Times New Roman"/>
                      <w:b w:val="0"/>
                      <w:bCs w:val="0"/>
                      <w:color w:val="auto"/>
                      <w:sz w:val="21"/>
                      <w:szCs w:val="21"/>
                      <w:highlight w:val="none"/>
                      <w:vertAlign w:val="subscript"/>
                    </w:rPr>
                    <w:t>2</w:t>
                  </w:r>
                  <w:r>
                    <w:rPr>
                      <w:rFonts w:hint="default" w:ascii="Times New Roman" w:hAnsi="Times New Roman" w:cs="Times New Roman"/>
                      <w:b w:val="0"/>
                      <w:bCs w:val="0"/>
                      <w:color w:val="auto"/>
                      <w:sz w:val="21"/>
                      <w:szCs w:val="21"/>
                      <w:highlight w:val="none"/>
                    </w:rPr>
                    <w:t>、NO</w:t>
                  </w:r>
                  <w:r>
                    <w:rPr>
                      <w:rFonts w:hint="default" w:ascii="Times New Roman" w:hAnsi="Times New Roman" w:cs="Times New Roman"/>
                      <w:b w:val="0"/>
                      <w:bCs w:val="0"/>
                      <w:color w:val="auto"/>
                      <w:sz w:val="21"/>
                      <w:szCs w:val="21"/>
                      <w:highlight w:val="none"/>
                      <w:vertAlign w:val="subscript"/>
                      <w:lang w:val="en-US" w:eastAsia="zh-CN"/>
                    </w:rPr>
                    <w:t>x</w:t>
                  </w:r>
                  <w:r>
                    <w:rPr>
                      <w:rFonts w:hint="eastAsia" w:ascii="Times New Roman" w:hAnsi="Times New Roman" w:cs="Times New Roman"/>
                      <w:b w:val="0"/>
                      <w:bCs w:val="0"/>
                      <w:color w:val="auto"/>
                      <w:sz w:val="21"/>
                      <w:szCs w:val="21"/>
                      <w:highlight w:val="none"/>
                      <w:vertAlign w:val="baseline"/>
                      <w:lang w:val="en-US" w:eastAsia="zh-CN"/>
                    </w:rPr>
                    <w:t>、</w:t>
                  </w:r>
                  <w:r>
                    <w:rPr>
                      <w:rFonts w:hint="default" w:ascii="Times New Roman" w:hAnsi="Times New Roman" w:cs="Times New Roman"/>
                      <w:b w:val="0"/>
                      <w:bCs w:val="0"/>
                      <w:color w:val="auto"/>
                      <w:sz w:val="21"/>
                      <w:szCs w:val="21"/>
                      <w:highlight w:val="none"/>
                      <w:lang w:val="en-US" w:eastAsia="zh-CN"/>
                    </w:rPr>
                    <w:t>林格曼黑度</w:t>
                  </w:r>
                </w:p>
              </w:tc>
              <w:tc>
                <w:tcPr>
                  <w:tcW w:w="1406" w:type="dxa"/>
                  <w:tcBorders>
                    <w:top w:val="single" w:color="auto" w:sz="12" w:space="0"/>
                  </w:tcBorders>
                  <w:vAlign w:val="center"/>
                </w:tcPr>
                <w:p w14:paraId="1A523236">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1次/月</w:t>
                  </w:r>
                </w:p>
              </w:tc>
              <w:tc>
                <w:tcPr>
                  <w:tcW w:w="3841" w:type="dxa"/>
                  <w:tcBorders>
                    <w:top w:val="single" w:color="auto" w:sz="12" w:space="0"/>
                  </w:tcBorders>
                  <w:vAlign w:val="center"/>
                </w:tcPr>
                <w:p w14:paraId="32468ADE">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eastAsia="zh-CN"/>
                    </w:rPr>
                    <w:t>《锅炉大气污染物排放标准》（GB13271-2014）表</w:t>
                  </w:r>
                  <w:r>
                    <w:rPr>
                      <w:rFonts w:hint="eastAsia" w:ascii="Times New Roman" w:hAnsi="Times New Roman" w:cs="Times New Roman"/>
                      <w:b w:val="0"/>
                      <w:bCs w:val="0"/>
                      <w:color w:val="auto"/>
                      <w:sz w:val="21"/>
                      <w:szCs w:val="21"/>
                      <w:highlight w:val="none"/>
                      <w:lang w:val="en-US" w:eastAsia="zh-CN"/>
                    </w:rPr>
                    <w:t>3大气污染物特别排放限值</w:t>
                  </w:r>
                  <w:r>
                    <w:rPr>
                      <w:rFonts w:hint="default" w:ascii="Times New Roman" w:hAnsi="Times New Roman" w:cs="Times New Roman"/>
                      <w:b w:val="0"/>
                      <w:bCs w:val="0"/>
                      <w:color w:val="auto"/>
                      <w:sz w:val="21"/>
                      <w:szCs w:val="21"/>
                      <w:highlight w:val="none"/>
                      <w:lang w:val="en-US" w:eastAsia="zh-CN"/>
                    </w:rPr>
                    <w:t>燃气</w:t>
                  </w:r>
                  <w:r>
                    <w:rPr>
                      <w:rFonts w:hint="default" w:ascii="Times New Roman" w:hAnsi="Times New Roman" w:cs="Times New Roman"/>
                      <w:b w:val="0"/>
                      <w:bCs w:val="0"/>
                      <w:color w:val="auto"/>
                      <w:sz w:val="21"/>
                      <w:szCs w:val="21"/>
                      <w:highlight w:val="none"/>
                      <w:lang w:eastAsia="zh-CN"/>
                    </w:rPr>
                    <w:t>锅炉排放标准</w:t>
                  </w:r>
                </w:p>
              </w:tc>
            </w:tr>
            <w:tr w14:paraId="26F48C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4" w:type="dxa"/>
                  <w:vAlign w:val="center"/>
                </w:tcPr>
                <w:p w14:paraId="4C35C72E">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bookmarkStart w:id="61" w:name="hmcheck_6a5e728552fc40d1a76ae3fc0fa27fc9"/>
                  <w:r>
                    <w:rPr>
                      <w:rFonts w:hint="default" w:ascii="Times New Roman" w:hAnsi="Times New Roman" w:cs="Times New Roman"/>
                      <w:b w:val="0"/>
                      <w:bCs w:val="0"/>
                      <w:color w:val="auto"/>
                      <w:sz w:val="21"/>
                      <w:szCs w:val="21"/>
                      <w:highlight w:val="none"/>
                      <w:lang w:val="en-US" w:eastAsia="zh-CN"/>
                    </w:rPr>
                    <w:t>厂</w:t>
                  </w:r>
                  <w:bookmarkEnd w:id="61"/>
                  <w:r>
                    <w:rPr>
                      <w:rFonts w:hint="default" w:ascii="Times New Roman" w:hAnsi="Times New Roman" w:cs="Times New Roman"/>
                      <w:b w:val="0"/>
                      <w:bCs w:val="0"/>
                      <w:color w:val="auto"/>
                      <w:sz w:val="21"/>
                      <w:szCs w:val="21"/>
                      <w:highlight w:val="none"/>
                      <w:lang w:val="en-US" w:eastAsia="zh-CN"/>
                    </w:rPr>
                    <w:t>界</w:t>
                  </w:r>
                </w:p>
              </w:tc>
              <w:tc>
                <w:tcPr>
                  <w:tcW w:w="1809" w:type="dxa"/>
                  <w:vAlign w:val="center"/>
                </w:tcPr>
                <w:p w14:paraId="03C97F61">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颗粒物</w:t>
                  </w:r>
                </w:p>
              </w:tc>
              <w:tc>
                <w:tcPr>
                  <w:tcW w:w="1406" w:type="dxa"/>
                  <w:vAlign w:val="center"/>
                </w:tcPr>
                <w:p w14:paraId="75BC8D83">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1次/季度</w:t>
                  </w:r>
                </w:p>
              </w:tc>
              <w:tc>
                <w:tcPr>
                  <w:tcW w:w="3841" w:type="dxa"/>
                  <w:vAlign w:val="center"/>
                </w:tcPr>
                <w:p w14:paraId="10FD961D">
                  <w:pPr>
                    <w:pStyle w:val="35"/>
                    <w:keepNext w:val="0"/>
                    <w:keepLines w:val="0"/>
                    <w:suppressLineNumbers w:val="0"/>
                    <w:bidi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《大气污染物综合排放标准》（GB16297-1996）无组织排放浓度限值</w:t>
                  </w:r>
                </w:p>
              </w:tc>
            </w:tr>
          </w:tbl>
          <w:p w14:paraId="64AC9B41">
            <w:pPr>
              <w:spacing w:line="360" w:lineRule="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cs="Times New Roman"/>
                <w:b/>
                <w:bCs/>
                <w:color w:val="auto"/>
                <w:sz w:val="24"/>
                <w:highlight w:val="none"/>
                <w:lang w:val="en-US" w:eastAsia="zh-CN"/>
              </w:rPr>
              <w:t>6</w:t>
            </w:r>
            <w:r>
              <w:rPr>
                <w:rFonts w:hint="default" w:ascii="Times New Roman" w:hAnsi="Times New Roman" w:eastAsia="宋体" w:cs="Times New Roman"/>
                <w:b/>
                <w:bCs/>
                <w:color w:val="auto"/>
                <w:sz w:val="24"/>
                <w:highlight w:val="none"/>
                <w:lang w:val="en-US" w:eastAsia="zh-CN"/>
              </w:rPr>
              <w:t xml:space="preserve"> 大气环境影响</w:t>
            </w:r>
            <w:r>
              <w:rPr>
                <w:rFonts w:hint="default" w:ascii="Times New Roman" w:hAnsi="Times New Roman" w:cs="Times New Roman"/>
                <w:b/>
                <w:bCs/>
                <w:color w:val="auto"/>
                <w:sz w:val="24"/>
                <w:highlight w:val="none"/>
                <w:lang w:val="en-US" w:eastAsia="zh-CN"/>
              </w:rPr>
              <w:t>结论</w:t>
            </w:r>
          </w:p>
          <w:p w14:paraId="00B7415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napToGrid w:val="0"/>
                <w:color w:val="auto"/>
                <w:sz w:val="24"/>
                <w:szCs w:val="24"/>
                <w:highlight w:val="none"/>
              </w:rPr>
              <w:t>综上所述，本项目产生的废气经</w:t>
            </w:r>
            <w:r>
              <w:rPr>
                <w:rFonts w:hint="default" w:ascii="Times New Roman" w:hAnsi="Times New Roman" w:cs="Times New Roman"/>
                <w:snapToGrid w:val="0"/>
                <w:color w:val="auto"/>
                <w:sz w:val="24"/>
                <w:szCs w:val="24"/>
                <w:highlight w:val="none"/>
                <w:lang w:val="en-US" w:eastAsia="zh-CN"/>
              </w:rPr>
              <w:t>处理后</w:t>
            </w:r>
            <w:r>
              <w:rPr>
                <w:rFonts w:hint="default" w:ascii="Times New Roman" w:hAnsi="Times New Roman" w:eastAsia="宋体" w:cs="Times New Roman"/>
                <w:snapToGrid w:val="0"/>
                <w:color w:val="auto"/>
                <w:sz w:val="24"/>
                <w:szCs w:val="24"/>
                <w:highlight w:val="none"/>
                <w:lang w:val="en-US" w:eastAsia="zh-CN"/>
              </w:rPr>
              <w:t>均</w:t>
            </w:r>
            <w:r>
              <w:rPr>
                <w:rFonts w:hint="default" w:ascii="Times New Roman" w:hAnsi="Times New Roman" w:eastAsia="宋体" w:cs="Times New Roman"/>
                <w:snapToGrid w:val="0"/>
                <w:color w:val="auto"/>
                <w:sz w:val="24"/>
                <w:szCs w:val="24"/>
                <w:highlight w:val="none"/>
              </w:rPr>
              <w:t>能达标排放，对周边环境产生影响是可以接受的。</w:t>
            </w:r>
          </w:p>
          <w:p w14:paraId="6A8256C8">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2、运营期水环境影响分析和保护措施</w:t>
            </w:r>
          </w:p>
          <w:p w14:paraId="1FEA829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项目运营期间产生的污水主要是职工产生的生活污水</w:t>
            </w:r>
            <w:r>
              <w:rPr>
                <w:rFonts w:hint="default" w:ascii="Times New Roman" w:hAnsi="Times New Roman" w:cs="Times New Roman"/>
                <w:color w:val="auto"/>
                <w:sz w:val="24"/>
                <w:szCs w:val="24"/>
                <w:highlight w:val="none"/>
                <w:lang w:eastAsia="zh-CN"/>
              </w:rPr>
              <w:t>。</w:t>
            </w:r>
          </w:p>
          <w:p w14:paraId="39DFBBFD">
            <w:pPr>
              <w:spacing w:line="360" w:lineRule="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2.1</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lang w:val="en-US" w:eastAsia="zh-CN"/>
              </w:rPr>
              <w:t>生活污水</w:t>
            </w:r>
          </w:p>
          <w:p w14:paraId="0E700BC6">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本项目拟聘用</w:t>
            </w:r>
            <w:r>
              <w:rPr>
                <w:rFonts w:hint="default"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名职工，</w:t>
            </w:r>
            <w:r>
              <w:rPr>
                <w:rFonts w:hint="default" w:ascii="Times New Roman" w:hAnsi="Times New Roman" w:cs="Times New Roman"/>
                <w:color w:val="auto"/>
                <w:sz w:val="24"/>
                <w:highlight w:val="none"/>
                <w:lang w:val="en-US" w:eastAsia="zh-CN"/>
              </w:rPr>
              <w:t>根据给排水章节计算得</w:t>
            </w:r>
            <w:r>
              <w:rPr>
                <w:rFonts w:hint="default" w:ascii="Times New Roman" w:hAnsi="Times New Roman" w:cs="Times New Roman"/>
                <w:color w:val="auto"/>
                <w:sz w:val="24"/>
                <w:highlight w:val="none"/>
                <w:lang w:eastAsia="zh-CN"/>
              </w:rPr>
              <w:t>生活污水</w:t>
            </w:r>
            <w:r>
              <w:rPr>
                <w:rFonts w:hint="default" w:ascii="Times New Roman" w:hAnsi="Times New Roman" w:cs="Times New Roman"/>
                <w:color w:val="auto"/>
                <w:sz w:val="24"/>
                <w:highlight w:val="none"/>
              </w:rPr>
              <w:t>产生量为</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bCs/>
                <w:color w:val="auto"/>
                <w:sz w:val="24"/>
                <w:szCs w:val="24"/>
                <w:highlight w:val="none"/>
                <w:lang w:val="en-US" w:eastAsia="zh-CN"/>
              </w:rPr>
              <w:t>8</w:t>
            </w:r>
            <w:r>
              <w:rPr>
                <w:rFonts w:hint="default" w:ascii="Times New Roman" w:hAnsi="Times New Roman" w:cs="Times New Roman"/>
                <w:bCs/>
                <w:color w:val="auto"/>
                <w:sz w:val="24"/>
                <w:szCs w:val="24"/>
                <w:highlight w:val="none"/>
              </w:rPr>
              <w:t>m³/a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排入厂区化粪池内，</w:t>
            </w:r>
            <w:r>
              <w:rPr>
                <w:rFonts w:hint="default" w:ascii="Times New Roman" w:hAnsi="Times New Roman" w:cs="Times New Roman"/>
                <w:color w:val="auto"/>
                <w:sz w:val="24"/>
                <w:szCs w:val="24"/>
                <w:highlight w:val="none"/>
                <w:lang w:val="en-US" w:eastAsia="zh-CN"/>
              </w:rPr>
              <w:t>根据经典生活污水污染物浓度，确定</w:t>
            </w:r>
            <w:r>
              <w:rPr>
                <w:rFonts w:hint="default" w:ascii="Times New Roman" w:hAnsi="Times New Roman" w:cs="Times New Roman"/>
                <w:color w:val="auto"/>
                <w:sz w:val="24"/>
                <w:szCs w:val="24"/>
                <w:highlight w:val="none"/>
              </w:rPr>
              <w:t>污水污染物浓度及产生量见下表。</w:t>
            </w:r>
          </w:p>
          <w:p w14:paraId="548D35A9">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 xml:space="preserve">8 </w:t>
            </w:r>
            <w:r>
              <w:rPr>
                <w:rFonts w:hint="default" w:ascii="Times New Roman" w:hAnsi="Times New Roman" w:cs="Times New Roman"/>
                <w:b/>
                <w:bCs/>
                <w:color w:val="auto"/>
                <w:highlight w:val="none"/>
                <w:lang w:val="en-US" w:eastAsia="zh-CN"/>
              </w:rPr>
              <w:t xml:space="preserve">   生活污水主要污染物及排放情况</w:t>
            </w:r>
          </w:p>
          <w:tbl>
            <w:tblPr>
              <w:tblStyle w:val="19"/>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96"/>
              <w:gridCol w:w="1519"/>
              <w:gridCol w:w="1137"/>
              <w:gridCol w:w="1154"/>
              <w:gridCol w:w="1151"/>
              <w:gridCol w:w="1184"/>
              <w:gridCol w:w="1128"/>
            </w:tblGrid>
            <w:tr w14:paraId="0205CD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477" w:type="pct"/>
                  <w:gridSpan w:val="2"/>
                  <w:tcBorders>
                    <w:top w:val="single" w:color="auto" w:sz="12" w:space="0"/>
                    <w:bottom w:val="single" w:color="auto" w:sz="12" w:space="0"/>
                    <w:right w:val="single" w:color="auto" w:sz="6" w:space="0"/>
                  </w:tcBorders>
                  <w:vAlign w:val="center"/>
                </w:tcPr>
                <w:p w14:paraId="54C4F4B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主要污染物</w:t>
                  </w:r>
                </w:p>
              </w:tc>
              <w:tc>
                <w:tcPr>
                  <w:tcW w:w="695" w:type="pct"/>
                  <w:tcBorders>
                    <w:top w:val="single" w:color="auto" w:sz="12" w:space="0"/>
                    <w:left w:val="single" w:color="auto" w:sz="6" w:space="0"/>
                    <w:bottom w:val="single" w:color="auto" w:sz="12" w:space="0"/>
                    <w:right w:val="single" w:color="auto" w:sz="6" w:space="0"/>
                  </w:tcBorders>
                  <w:vAlign w:val="center"/>
                </w:tcPr>
                <w:p w14:paraId="57564F8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排水量</w:t>
                  </w:r>
                </w:p>
              </w:tc>
              <w:tc>
                <w:tcPr>
                  <w:tcW w:w="706" w:type="pct"/>
                  <w:tcBorders>
                    <w:top w:val="single" w:color="auto" w:sz="12" w:space="0"/>
                    <w:left w:val="single" w:color="auto" w:sz="6" w:space="0"/>
                    <w:bottom w:val="single" w:color="auto" w:sz="12" w:space="0"/>
                    <w:right w:val="single" w:color="auto" w:sz="6" w:space="0"/>
                  </w:tcBorders>
                  <w:vAlign w:val="center"/>
                </w:tcPr>
                <w:p w14:paraId="2379C65F">
                  <w:pPr>
                    <w:pStyle w:val="35"/>
                    <w:bidi w:val="0"/>
                    <w:rPr>
                      <w:rFonts w:hint="default" w:ascii="Times New Roman" w:hAnsi="Times New Roman" w:cs="Times New Roman"/>
                      <w:b w:val="0"/>
                      <w:bCs w:val="0"/>
                      <w:color w:val="auto"/>
                      <w:sz w:val="21"/>
                      <w:szCs w:val="21"/>
                      <w:highlight w:val="none"/>
                    </w:rPr>
                  </w:pPr>
                  <w:bookmarkStart w:id="62" w:name="hmcheck_a7ffac9de40545a493df7bc435f40cfa"/>
                  <w:r>
                    <w:rPr>
                      <w:rFonts w:hint="default" w:ascii="Times New Roman" w:hAnsi="Times New Roman" w:cs="Times New Roman"/>
                      <w:b w:val="0"/>
                      <w:bCs w:val="0"/>
                      <w:color w:val="auto"/>
                      <w:sz w:val="21"/>
                      <w:szCs w:val="21"/>
                      <w:highlight w:val="none"/>
                    </w:rPr>
                    <w:t>CODcr</w:t>
                  </w:r>
                  <w:bookmarkEnd w:id="62"/>
                </w:p>
              </w:tc>
              <w:tc>
                <w:tcPr>
                  <w:tcW w:w="704" w:type="pct"/>
                  <w:tcBorders>
                    <w:top w:val="single" w:color="auto" w:sz="12" w:space="0"/>
                    <w:left w:val="single" w:color="auto" w:sz="6" w:space="0"/>
                    <w:bottom w:val="single" w:color="auto" w:sz="12" w:space="0"/>
                    <w:right w:val="single" w:color="auto" w:sz="6" w:space="0"/>
                  </w:tcBorders>
                  <w:vAlign w:val="center"/>
                </w:tcPr>
                <w:p w14:paraId="13BB551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BOD</w:t>
                  </w:r>
                  <w:r>
                    <w:rPr>
                      <w:rFonts w:hint="default" w:ascii="Times New Roman" w:hAnsi="Times New Roman" w:cs="Times New Roman"/>
                      <w:b w:val="0"/>
                      <w:bCs w:val="0"/>
                      <w:color w:val="auto"/>
                      <w:sz w:val="21"/>
                      <w:szCs w:val="21"/>
                      <w:highlight w:val="none"/>
                      <w:vertAlign w:val="subscript"/>
                    </w:rPr>
                    <w:t>5</w:t>
                  </w:r>
                </w:p>
              </w:tc>
              <w:tc>
                <w:tcPr>
                  <w:tcW w:w="724" w:type="pct"/>
                  <w:tcBorders>
                    <w:top w:val="single" w:color="auto" w:sz="12" w:space="0"/>
                    <w:left w:val="single" w:color="auto" w:sz="6" w:space="0"/>
                    <w:bottom w:val="single" w:color="auto" w:sz="12" w:space="0"/>
                    <w:right w:val="single" w:color="auto" w:sz="6" w:space="0"/>
                  </w:tcBorders>
                  <w:vAlign w:val="center"/>
                </w:tcPr>
                <w:p w14:paraId="32E228C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SS</w:t>
                  </w:r>
                </w:p>
              </w:tc>
              <w:tc>
                <w:tcPr>
                  <w:tcW w:w="690" w:type="pct"/>
                  <w:tcBorders>
                    <w:top w:val="single" w:color="auto" w:sz="12" w:space="0"/>
                    <w:left w:val="single" w:color="auto" w:sz="6" w:space="0"/>
                    <w:bottom w:val="single" w:color="auto" w:sz="12" w:space="0"/>
                  </w:tcBorders>
                  <w:vAlign w:val="center"/>
                </w:tcPr>
                <w:p w14:paraId="0EC9493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NH</w:t>
                  </w:r>
                  <w:r>
                    <w:rPr>
                      <w:rFonts w:hint="default" w:ascii="Times New Roman" w:hAnsi="Times New Roman" w:cs="Times New Roman"/>
                      <w:b w:val="0"/>
                      <w:bCs w:val="0"/>
                      <w:color w:val="auto"/>
                      <w:sz w:val="21"/>
                      <w:szCs w:val="21"/>
                      <w:highlight w:val="none"/>
                      <w:vertAlign w:val="subscript"/>
                    </w:rPr>
                    <w:t>3</w:t>
                  </w:r>
                  <w:r>
                    <w:rPr>
                      <w:rFonts w:hint="default" w:ascii="Times New Roman" w:hAnsi="Times New Roman" w:cs="Times New Roman"/>
                      <w:b w:val="0"/>
                      <w:bCs w:val="0"/>
                      <w:color w:val="auto"/>
                      <w:sz w:val="21"/>
                      <w:szCs w:val="21"/>
                      <w:highlight w:val="none"/>
                    </w:rPr>
                    <w:t>-N</w:t>
                  </w:r>
                </w:p>
              </w:tc>
            </w:tr>
            <w:tr w14:paraId="1A8836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48" w:type="pct"/>
                  <w:vMerge w:val="restart"/>
                  <w:tcBorders>
                    <w:top w:val="single" w:color="auto" w:sz="12" w:space="0"/>
                    <w:bottom w:val="single" w:color="auto" w:sz="6" w:space="0"/>
                    <w:right w:val="single" w:color="auto" w:sz="6" w:space="0"/>
                  </w:tcBorders>
                  <w:vAlign w:val="center"/>
                </w:tcPr>
                <w:p w14:paraId="19B43A3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w:t>
                  </w:r>
                </w:p>
              </w:tc>
              <w:tc>
                <w:tcPr>
                  <w:tcW w:w="928" w:type="pct"/>
                  <w:tcBorders>
                    <w:top w:val="single" w:color="auto" w:sz="12" w:space="0"/>
                    <w:left w:val="single" w:color="auto" w:sz="6" w:space="0"/>
                    <w:bottom w:val="single" w:color="auto" w:sz="6" w:space="0"/>
                    <w:right w:val="single" w:color="auto" w:sz="6" w:space="0"/>
                  </w:tcBorders>
                  <w:vAlign w:val="center"/>
                </w:tcPr>
                <w:p w14:paraId="720688B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浓度（mg/</w:t>
                  </w:r>
                  <w:r>
                    <w:rPr>
                      <w:rFonts w:hint="default" w:ascii="Times New Roman" w:hAnsi="Times New Roman" w:cs="Times New Roman"/>
                      <w:b w:val="0"/>
                      <w:bCs w:val="0"/>
                      <w:color w:val="auto"/>
                      <w:sz w:val="21"/>
                      <w:szCs w:val="21"/>
                      <w:highlight w:val="none"/>
                      <w:lang w:val="en-US" w:eastAsia="zh-CN"/>
                    </w:rPr>
                    <w:t>L</w:t>
                  </w:r>
                  <w:r>
                    <w:rPr>
                      <w:rFonts w:hint="default" w:ascii="Times New Roman" w:hAnsi="Times New Roman" w:cs="Times New Roman"/>
                      <w:b w:val="0"/>
                      <w:bCs w:val="0"/>
                      <w:color w:val="auto"/>
                      <w:sz w:val="21"/>
                      <w:szCs w:val="21"/>
                      <w:highlight w:val="none"/>
                    </w:rPr>
                    <w:t>）</w:t>
                  </w:r>
                </w:p>
              </w:tc>
              <w:tc>
                <w:tcPr>
                  <w:tcW w:w="695" w:type="pct"/>
                  <w:vMerge w:val="restart"/>
                  <w:tcBorders>
                    <w:top w:val="single" w:color="auto" w:sz="12" w:space="0"/>
                    <w:left w:val="single" w:color="auto" w:sz="6" w:space="0"/>
                    <w:bottom w:val="single" w:color="auto" w:sz="6" w:space="0"/>
                    <w:right w:val="single" w:color="auto" w:sz="6" w:space="0"/>
                  </w:tcBorders>
                  <w:vAlign w:val="center"/>
                </w:tcPr>
                <w:p w14:paraId="1B6F461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18</w:t>
                  </w:r>
                  <w:r>
                    <w:rPr>
                      <w:rFonts w:hint="default" w:ascii="Times New Roman" w:hAnsi="Times New Roman" w:cs="Times New Roman"/>
                      <w:b w:val="0"/>
                      <w:bCs w:val="0"/>
                      <w:color w:val="auto"/>
                      <w:sz w:val="21"/>
                      <w:szCs w:val="21"/>
                      <w:highlight w:val="none"/>
                    </w:rPr>
                    <w:t>m³/a</w:t>
                  </w:r>
                </w:p>
              </w:tc>
              <w:tc>
                <w:tcPr>
                  <w:tcW w:w="706" w:type="pct"/>
                  <w:tcBorders>
                    <w:top w:val="single" w:color="auto" w:sz="12" w:space="0"/>
                    <w:left w:val="single" w:color="auto" w:sz="6" w:space="0"/>
                    <w:bottom w:val="single" w:color="auto" w:sz="6" w:space="0"/>
                    <w:right w:val="single" w:color="auto" w:sz="6" w:space="0"/>
                  </w:tcBorders>
                  <w:vAlign w:val="center"/>
                </w:tcPr>
                <w:p w14:paraId="6E67B1C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300</w:t>
                  </w:r>
                </w:p>
              </w:tc>
              <w:tc>
                <w:tcPr>
                  <w:tcW w:w="704" w:type="pct"/>
                  <w:tcBorders>
                    <w:top w:val="single" w:color="auto" w:sz="12" w:space="0"/>
                    <w:left w:val="single" w:color="auto" w:sz="6" w:space="0"/>
                    <w:bottom w:val="single" w:color="auto" w:sz="6" w:space="0"/>
                    <w:right w:val="single" w:color="auto" w:sz="6" w:space="0"/>
                  </w:tcBorders>
                  <w:vAlign w:val="center"/>
                </w:tcPr>
                <w:p w14:paraId="689B0BF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200</w:t>
                  </w:r>
                </w:p>
              </w:tc>
              <w:tc>
                <w:tcPr>
                  <w:tcW w:w="724" w:type="pct"/>
                  <w:tcBorders>
                    <w:top w:val="single" w:color="auto" w:sz="12" w:space="0"/>
                    <w:left w:val="single" w:color="auto" w:sz="6" w:space="0"/>
                    <w:bottom w:val="single" w:color="auto" w:sz="6" w:space="0"/>
                    <w:right w:val="single" w:color="auto" w:sz="6" w:space="0"/>
                  </w:tcBorders>
                  <w:vAlign w:val="center"/>
                </w:tcPr>
                <w:p w14:paraId="6274905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350</w:t>
                  </w:r>
                </w:p>
              </w:tc>
              <w:tc>
                <w:tcPr>
                  <w:tcW w:w="690" w:type="pct"/>
                  <w:tcBorders>
                    <w:top w:val="single" w:color="auto" w:sz="12" w:space="0"/>
                    <w:left w:val="single" w:color="auto" w:sz="6" w:space="0"/>
                    <w:bottom w:val="single" w:color="auto" w:sz="6" w:space="0"/>
                  </w:tcBorders>
                  <w:vAlign w:val="center"/>
                </w:tcPr>
                <w:p w14:paraId="7BBCF7C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25</w:t>
                  </w:r>
                </w:p>
              </w:tc>
            </w:tr>
            <w:tr w14:paraId="191A2C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48" w:type="pct"/>
                  <w:vMerge w:val="continue"/>
                  <w:tcBorders>
                    <w:top w:val="single" w:color="auto" w:sz="6" w:space="0"/>
                    <w:bottom w:val="single" w:color="auto" w:sz="6" w:space="0"/>
                    <w:right w:val="single" w:color="auto" w:sz="6" w:space="0"/>
                  </w:tcBorders>
                  <w:vAlign w:val="center"/>
                </w:tcPr>
                <w:p w14:paraId="51474B87">
                  <w:pPr>
                    <w:pStyle w:val="35"/>
                    <w:bidi w:val="0"/>
                    <w:rPr>
                      <w:rFonts w:hint="default" w:ascii="Times New Roman" w:hAnsi="Times New Roman" w:cs="Times New Roman"/>
                      <w:b w:val="0"/>
                      <w:bCs w:val="0"/>
                      <w:color w:val="auto"/>
                      <w:sz w:val="21"/>
                      <w:szCs w:val="21"/>
                      <w:highlight w:val="none"/>
                    </w:rPr>
                  </w:pPr>
                </w:p>
              </w:tc>
              <w:tc>
                <w:tcPr>
                  <w:tcW w:w="928" w:type="pct"/>
                  <w:tcBorders>
                    <w:top w:val="single" w:color="auto" w:sz="6" w:space="0"/>
                    <w:left w:val="single" w:color="auto" w:sz="6" w:space="0"/>
                    <w:bottom w:val="single" w:color="auto" w:sz="6" w:space="0"/>
                    <w:right w:val="single" w:color="auto" w:sz="6" w:space="0"/>
                  </w:tcBorders>
                  <w:vAlign w:val="center"/>
                </w:tcPr>
                <w:p w14:paraId="6220671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产生量（t/a）</w:t>
                  </w:r>
                </w:p>
              </w:tc>
              <w:tc>
                <w:tcPr>
                  <w:tcW w:w="695" w:type="pct"/>
                  <w:vMerge w:val="continue"/>
                  <w:tcBorders>
                    <w:top w:val="single" w:color="auto" w:sz="6" w:space="0"/>
                    <w:left w:val="single" w:color="auto" w:sz="6" w:space="0"/>
                    <w:bottom w:val="single" w:color="auto" w:sz="6" w:space="0"/>
                    <w:right w:val="single" w:color="auto" w:sz="6" w:space="0"/>
                  </w:tcBorders>
                  <w:vAlign w:val="center"/>
                </w:tcPr>
                <w:p w14:paraId="0E902638">
                  <w:pPr>
                    <w:pStyle w:val="35"/>
                    <w:bidi w:val="0"/>
                    <w:rPr>
                      <w:rFonts w:hint="default" w:ascii="Times New Roman" w:hAnsi="Times New Roman" w:cs="Times New Roman"/>
                      <w:b w:val="0"/>
                      <w:bCs w:val="0"/>
                      <w:color w:val="auto"/>
                      <w:sz w:val="21"/>
                      <w:szCs w:val="21"/>
                      <w:highlight w:val="none"/>
                    </w:rPr>
                  </w:pPr>
                </w:p>
              </w:tc>
              <w:tc>
                <w:tcPr>
                  <w:tcW w:w="706" w:type="pct"/>
                  <w:tcBorders>
                    <w:top w:val="single" w:color="auto" w:sz="6" w:space="0"/>
                    <w:left w:val="single" w:color="auto" w:sz="6" w:space="0"/>
                    <w:bottom w:val="single" w:color="auto" w:sz="6" w:space="0"/>
                    <w:right w:val="single" w:color="auto" w:sz="6" w:space="0"/>
                  </w:tcBorders>
                  <w:vAlign w:val="center"/>
                </w:tcPr>
                <w:p w14:paraId="1CED1B2D">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0.0</w:t>
                  </w:r>
                  <w:r>
                    <w:rPr>
                      <w:rFonts w:hint="default" w:ascii="Times New Roman" w:hAnsi="Times New Roman" w:cs="Times New Roman"/>
                      <w:b w:val="0"/>
                      <w:bCs w:val="0"/>
                      <w:color w:val="auto"/>
                      <w:sz w:val="21"/>
                      <w:szCs w:val="21"/>
                      <w:highlight w:val="none"/>
                      <w:lang w:val="en-US" w:eastAsia="zh-CN"/>
                    </w:rPr>
                    <w:t>054</w:t>
                  </w:r>
                </w:p>
              </w:tc>
              <w:tc>
                <w:tcPr>
                  <w:tcW w:w="704" w:type="pct"/>
                  <w:tcBorders>
                    <w:top w:val="single" w:color="auto" w:sz="6" w:space="0"/>
                    <w:left w:val="single" w:color="auto" w:sz="6" w:space="0"/>
                    <w:bottom w:val="single" w:color="auto" w:sz="6" w:space="0"/>
                    <w:right w:val="single" w:color="auto" w:sz="6" w:space="0"/>
                  </w:tcBorders>
                  <w:vAlign w:val="center"/>
                </w:tcPr>
                <w:p w14:paraId="3B5E6B9F">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0.0036</w:t>
                  </w:r>
                </w:p>
              </w:tc>
              <w:tc>
                <w:tcPr>
                  <w:tcW w:w="724" w:type="pct"/>
                  <w:tcBorders>
                    <w:top w:val="single" w:color="auto" w:sz="6" w:space="0"/>
                    <w:left w:val="single" w:color="auto" w:sz="6" w:space="0"/>
                    <w:bottom w:val="single" w:color="auto" w:sz="6" w:space="0"/>
                    <w:right w:val="single" w:color="auto" w:sz="6" w:space="0"/>
                  </w:tcBorders>
                  <w:vAlign w:val="center"/>
                </w:tcPr>
                <w:p w14:paraId="4082EB83">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0.0063</w:t>
                  </w:r>
                </w:p>
              </w:tc>
              <w:tc>
                <w:tcPr>
                  <w:tcW w:w="690" w:type="pct"/>
                  <w:tcBorders>
                    <w:top w:val="single" w:color="auto" w:sz="6" w:space="0"/>
                    <w:left w:val="single" w:color="auto" w:sz="6" w:space="0"/>
                    <w:bottom w:val="single" w:color="auto" w:sz="6" w:space="0"/>
                  </w:tcBorders>
                  <w:vAlign w:val="center"/>
                </w:tcPr>
                <w:p w14:paraId="03E3DBA7">
                  <w:pPr>
                    <w:pStyle w:val="35"/>
                    <w:bidi w:val="0"/>
                    <w:rPr>
                      <w:rFonts w:hint="default" w:ascii="Times New Roman" w:hAnsi="Times New Roman" w:cs="Times New Roman"/>
                      <w:b w:val="0"/>
                      <w:bCs w:val="0"/>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rPr>
                    <w:t>0.00045</w:t>
                  </w:r>
                </w:p>
              </w:tc>
            </w:tr>
            <w:tr w14:paraId="438602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477" w:type="pct"/>
                  <w:gridSpan w:val="2"/>
                  <w:tcBorders>
                    <w:top w:val="single" w:color="auto" w:sz="6" w:space="0"/>
                    <w:bottom w:val="single" w:color="auto" w:sz="12" w:space="0"/>
                    <w:right w:val="single" w:color="auto" w:sz="6" w:space="0"/>
                  </w:tcBorders>
                  <w:vAlign w:val="center"/>
                </w:tcPr>
                <w:p w14:paraId="03018BE4">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排放限值（mg/L）</w:t>
                  </w:r>
                </w:p>
              </w:tc>
              <w:tc>
                <w:tcPr>
                  <w:tcW w:w="695" w:type="pct"/>
                  <w:tcBorders>
                    <w:top w:val="single" w:color="auto" w:sz="6" w:space="0"/>
                    <w:left w:val="single" w:color="auto" w:sz="6" w:space="0"/>
                    <w:bottom w:val="single" w:color="auto" w:sz="12" w:space="0"/>
                    <w:right w:val="single" w:color="auto" w:sz="6" w:space="0"/>
                  </w:tcBorders>
                  <w:vAlign w:val="center"/>
                </w:tcPr>
                <w:p w14:paraId="3F38F8F5">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706" w:type="pct"/>
                  <w:tcBorders>
                    <w:top w:val="single" w:color="auto" w:sz="6" w:space="0"/>
                    <w:left w:val="single" w:color="auto" w:sz="6" w:space="0"/>
                    <w:bottom w:val="single" w:color="auto" w:sz="12" w:space="0"/>
                    <w:right w:val="single" w:color="auto" w:sz="6" w:space="0"/>
                  </w:tcBorders>
                  <w:vAlign w:val="center"/>
                </w:tcPr>
                <w:p w14:paraId="097EEBCE">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500</w:t>
                  </w:r>
                </w:p>
              </w:tc>
              <w:tc>
                <w:tcPr>
                  <w:tcW w:w="704" w:type="pct"/>
                  <w:tcBorders>
                    <w:top w:val="single" w:color="auto" w:sz="6" w:space="0"/>
                    <w:left w:val="single" w:color="auto" w:sz="6" w:space="0"/>
                    <w:bottom w:val="single" w:color="auto" w:sz="12" w:space="0"/>
                    <w:right w:val="single" w:color="auto" w:sz="6" w:space="0"/>
                  </w:tcBorders>
                  <w:vAlign w:val="center"/>
                </w:tcPr>
                <w:p w14:paraId="09CCC161">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300</w:t>
                  </w:r>
                </w:p>
              </w:tc>
              <w:tc>
                <w:tcPr>
                  <w:tcW w:w="724" w:type="pct"/>
                  <w:tcBorders>
                    <w:top w:val="single" w:color="auto" w:sz="6" w:space="0"/>
                    <w:left w:val="single" w:color="auto" w:sz="6" w:space="0"/>
                    <w:bottom w:val="single" w:color="auto" w:sz="12" w:space="0"/>
                    <w:right w:val="single" w:color="auto" w:sz="6" w:space="0"/>
                  </w:tcBorders>
                  <w:vAlign w:val="center"/>
                </w:tcPr>
                <w:p w14:paraId="39736894">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400</w:t>
                  </w:r>
                </w:p>
              </w:tc>
              <w:tc>
                <w:tcPr>
                  <w:tcW w:w="690" w:type="pct"/>
                  <w:tcBorders>
                    <w:top w:val="single" w:color="auto" w:sz="6" w:space="0"/>
                    <w:left w:val="single" w:color="auto" w:sz="6" w:space="0"/>
                    <w:bottom w:val="single" w:color="auto" w:sz="12" w:space="0"/>
                  </w:tcBorders>
                  <w:vAlign w:val="center"/>
                </w:tcPr>
                <w:p w14:paraId="4E72DA3A">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r>
          </w:tbl>
          <w:p w14:paraId="4FAD6EBD">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本项目产生的污水进入化粪池</w:t>
            </w:r>
            <w:r>
              <w:rPr>
                <w:rFonts w:hint="default" w:ascii="Times New Roman" w:hAnsi="Times New Roman" w:cs="Times New Roman"/>
                <w:color w:val="auto"/>
                <w:sz w:val="24"/>
                <w:szCs w:val="24"/>
                <w:highlight w:val="none"/>
                <w:lang w:val="en-US" w:eastAsia="zh-CN"/>
              </w:rPr>
              <w:t>预处理后，委托当地吸污车拉运处理。</w:t>
            </w:r>
          </w:p>
          <w:p w14:paraId="7E4F2E52">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2.2</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生产废水</w:t>
            </w:r>
          </w:p>
          <w:p w14:paraId="47BFB4EB">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本项目生产废水主要是脱硫系统的废水和炉渣降温产生的废水，</w:t>
            </w:r>
            <w:r>
              <w:rPr>
                <w:rFonts w:hint="default" w:ascii="Times New Roman" w:hAnsi="Times New Roman" w:cs="Times New Roman"/>
                <w:bCs/>
                <w:color w:val="auto"/>
                <w:sz w:val="24"/>
                <w:szCs w:val="24"/>
                <w:highlight w:val="none"/>
                <w:lang w:val="en-US" w:eastAsia="zh-CN"/>
              </w:rPr>
              <w:t>脱硫</w:t>
            </w:r>
            <w:r>
              <w:rPr>
                <w:rFonts w:hint="default" w:ascii="Times New Roman" w:hAnsi="Times New Roman" w:cs="Times New Roman"/>
                <w:bCs/>
                <w:color w:val="auto"/>
                <w:sz w:val="24"/>
                <w:szCs w:val="24"/>
                <w:highlight w:val="none"/>
              </w:rPr>
              <w:t>废水通过循环池沉淀后全部回用，不外排</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lang w:val="en-US" w:eastAsia="zh-CN"/>
              </w:rPr>
              <w:t>灰渣池内废水随着灰渣打包</w:t>
            </w:r>
            <w:bookmarkStart w:id="63" w:name="hmcheck_b29455f377bf4c23ab3fe9811a2ba57f"/>
            <w:r>
              <w:rPr>
                <w:rFonts w:hint="default" w:ascii="Times New Roman" w:hAnsi="Times New Roman" w:cs="Times New Roman"/>
                <w:bCs/>
                <w:color w:val="auto"/>
                <w:sz w:val="24"/>
                <w:szCs w:val="24"/>
                <w:highlight w:val="none"/>
                <w:lang w:val="en-US" w:eastAsia="zh-CN"/>
              </w:rPr>
              <w:t>外售</w:t>
            </w:r>
            <w:bookmarkEnd w:id="63"/>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rPr>
              <w:t>故本项目实际生产过程中无生产废水外排。</w:t>
            </w:r>
          </w:p>
          <w:p w14:paraId="6592BDDF">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2.3 污水排放可行性分析</w:t>
            </w:r>
          </w:p>
          <w:p w14:paraId="63503CF9">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区生活污水排入化粪池，委托当地吸污车拉运至</w:t>
            </w:r>
            <w:r>
              <w:rPr>
                <w:rFonts w:hint="eastAsia"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eastAsia="zh-CN"/>
              </w:rPr>
              <w:t>生活污水处理厂统一处理，</w:t>
            </w:r>
            <w:r>
              <w:rPr>
                <w:rFonts w:hint="eastAsia"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eastAsia="zh-CN"/>
              </w:rPr>
              <w:t>生活污水处理厂于2012年开始建设，位于本项目南侧2.5km处</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采用AAO处理工艺，出水满足一级A标准，设计处理规模为1万m³/d，目前实际处理规模约为0.2~0.5万m³/d，余量较为丰富，运营情况良好。本项目产生的污水是生活污水，其生化性较好，各项污染物浓度较低，产生量较小，不会对</w:t>
            </w:r>
            <w:r>
              <w:rPr>
                <w:rFonts w:hint="eastAsia"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eastAsia="zh-CN"/>
              </w:rPr>
              <w:t>生活污水处理厂造成较大的负载。</w:t>
            </w:r>
          </w:p>
          <w:p w14:paraId="4BED33C5">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2.4 运营期水环境监测要求</w:t>
            </w:r>
          </w:p>
          <w:p w14:paraId="0679ABB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根据《固定污染源排污许可分类管理名录（201</w:t>
            </w:r>
            <w:r>
              <w:rPr>
                <w:rFonts w:hint="default"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年版）》，本项目属于“</w:t>
            </w:r>
            <w:r>
              <w:rPr>
                <w:rFonts w:hint="default" w:ascii="Times New Roman" w:hAnsi="Times New Roman" w:cs="Times New Roman"/>
                <w:color w:val="auto"/>
                <w:sz w:val="24"/>
                <w:szCs w:val="24"/>
                <w:highlight w:val="none"/>
                <w:lang w:val="en-US" w:eastAsia="zh-CN"/>
              </w:rPr>
              <w:t>简化</w:t>
            </w:r>
            <w:r>
              <w:rPr>
                <w:rFonts w:hint="default" w:ascii="Times New Roman" w:hAnsi="Times New Roman" w:cs="Times New Roman"/>
                <w:color w:val="auto"/>
                <w:sz w:val="24"/>
                <w:szCs w:val="24"/>
                <w:highlight w:val="none"/>
              </w:rPr>
              <w:t>管理类”，参考</w:t>
            </w:r>
            <w:r>
              <w:rPr>
                <w:rFonts w:hint="default" w:ascii="Times New Roman" w:hAnsi="Times New Roman" w:cs="Times New Roman"/>
                <w:color w:val="auto"/>
                <w:sz w:val="24"/>
                <w:szCs w:val="24"/>
                <w:highlight w:val="none"/>
                <w:lang w:eastAsia="zh-CN"/>
              </w:rPr>
              <w:t>《排污单位自行监测技术指南 火力发电及锅炉》（</w:t>
            </w:r>
            <w:r>
              <w:rPr>
                <w:rFonts w:hint="default" w:ascii="Times New Roman" w:hAnsi="Times New Roman" w:cs="Times New Roman"/>
                <w:color w:val="auto"/>
                <w:sz w:val="24"/>
                <w:szCs w:val="24"/>
                <w:highlight w:val="none"/>
                <w:lang w:val="en-US" w:eastAsia="zh-CN"/>
              </w:rPr>
              <w:t>HJ</w:t>
            </w:r>
            <w:r>
              <w:rPr>
                <w:rFonts w:hint="eastAsia" w:cs="Times New Roman"/>
                <w:color w:val="auto"/>
                <w:sz w:val="24"/>
                <w:szCs w:val="24"/>
                <w:highlight w:val="none"/>
                <w:lang w:val="en-US" w:eastAsia="zh-CN"/>
              </w:rPr>
              <w:t>820-2017</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企业不涉及废水总排放口，因此</w:t>
            </w:r>
            <w:r>
              <w:rPr>
                <w:rFonts w:hint="default" w:ascii="Times New Roman" w:hAnsi="Times New Roman" w:cs="Times New Roman"/>
                <w:color w:val="auto"/>
                <w:sz w:val="24"/>
                <w:szCs w:val="24"/>
                <w:highlight w:val="none"/>
                <w:lang w:val="en-US" w:eastAsia="zh-CN"/>
              </w:rPr>
              <w:t>对生活污水不做监测要求</w:t>
            </w:r>
            <w:r>
              <w:rPr>
                <w:rFonts w:hint="default" w:ascii="Times New Roman" w:hAnsi="Times New Roman" w:cs="Times New Roman"/>
                <w:color w:val="auto"/>
                <w:sz w:val="24"/>
                <w:szCs w:val="24"/>
                <w:highlight w:val="none"/>
              </w:rPr>
              <w:t>。</w:t>
            </w:r>
          </w:p>
          <w:p w14:paraId="3AFDE6B2">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2.5运营期水环境影响结论</w:t>
            </w:r>
          </w:p>
          <w:p w14:paraId="111DB52F">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本项目运营期不排放生产废水，生活污水经化粪池预处理后委托当地吸污车</w:t>
            </w:r>
            <w:r>
              <w:rPr>
                <w:rFonts w:hint="eastAsia" w:ascii="Times New Roman" w:hAnsi="Times New Roman" w:cs="Times New Roman"/>
                <w:color w:val="auto"/>
                <w:sz w:val="24"/>
                <w:szCs w:val="24"/>
                <w:highlight w:val="none"/>
                <w:lang w:val="en-US" w:eastAsia="zh-CN"/>
              </w:rPr>
              <w:t>拉运</w:t>
            </w:r>
            <w:r>
              <w:rPr>
                <w:rFonts w:hint="default" w:ascii="Times New Roman" w:hAnsi="Times New Roman" w:cs="Times New Roman"/>
                <w:color w:val="auto"/>
                <w:sz w:val="24"/>
                <w:szCs w:val="24"/>
                <w:highlight w:val="none"/>
                <w:lang w:val="en-US" w:eastAsia="zh-CN"/>
              </w:rPr>
              <w:t>至</w:t>
            </w:r>
            <w:r>
              <w:rPr>
                <w:rFonts w:hint="eastAsia"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eastAsia="zh-CN"/>
              </w:rPr>
              <w:t>污水处理厂统一处理，对项目区地表水环境是可接受的。</w:t>
            </w:r>
          </w:p>
          <w:p w14:paraId="533F0230">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3、运营期声环境影响及保护措施</w:t>
            </w:r>
          </w:p>
          <w:p w14:paraId="584FDB81">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3.1 噪声源分析与预测</w:t>
            </w:r>
          </w:p>
          <w:p w14:paraId="7F247CDE">
            <w:pPr>
              <w:spacing w:line="360" w:lineRule="auto"/>
              <w:ind w:firstLine="480" w:firstLineChars="200"/>
              <w:rPr>
                <w:rFonts w:hint="default" w:ascii="Times New Roman" w:hAnsi="Times New Roman" w:cs="Times New Roman"/>
                <w:color w:val="auto"/>
                <w:sz w:val="24"/>
                <w:szCs w:val="24"/>
                <w:highlight w:val="none"/>
                <w:lang w:val="en-US" w:eastAsia="zh-CN"/>
              </w:rPr>
            </w:pPr>
            <w:bookmarkStart w:id="64" w:name="_Hlk81666350"/>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噪声源分析</w:t>
            </w:r>
          </w:p>
          <w:p w14:paraId="4964EC25">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营运期噪声主要来源于</w:t>
            </w:r>
            <w:r>
              <w:rPr>
                <w:rFonts w:hint="default" w:ascii="Times New Roman" w:hAnsi="Times New Roman" w:cs="Times New Roman"/>
                <w:color w:val="auto"/>
                <w:sz w:val="24"/>
                <w:szCs w:val="24"/>
                <w:highlight w:val="none"/>
                <w:lang w:val="en-US" w:eastAsia="zh-CN"/>
              </w:rPr>
              <w:t>热风炉、烘干塔</w:t>
            </w:r>
            <w:r>
              <w:rPr>
                <w:rFonts w:hint="default" w:ascii="Times New Roman" w:hAnsi="Times New Roman" w:cs="Times New Roman"/>
                <w:color w:val="auto"/>
                <w:sz w:val="24"/>
                <w:szCs w:val="24"/>
                <w:highlight w:val="none"/>
              </w:rPr>
              <w:t>、运输车辆、物料传输装置</w:t>
            </w:r>
            <w:r>
              <w:rPr>
                <w:rFonts w:hint="default" w:ascii="Times New Roman" w:hAnsi="Times New Roman" w:cs="Times New Roman"/>
                <w:color w:val="auto"/>
                <w:sz w:val="24"/>
                <w:szCs w:val="24"/>
                <w:highlight w:val="none"/>
                <w:lang w:val="en-US" w:eastAsia="zh-CN"/>
              </w:rPr>
              <w:t>等</w:t>
            </w:r>
            <w:r>
              <w:rPr>
                <w:rFonts w:hint="default" w:ascii="Times New Roman" w:hAnsi="Times New Roman" w:cs="Times New Roman"/>
                <w:color w:val="auto"/>
                <w:sz w:val="24"/>
                <w:szCs w:val="24"/>
                <w:highlight w:val="none"/>
              </w:rPr>
              <w:t>运转过程中产生的噪声。</w:t>
            </w:r>
            <w:r>
              <w:rPr>
                <w:rFonts w:hint="default" w:ascii="Times New Roman" w:hAnsi="Times New Roman" w:cs="Times New Roman"/>
                <w:color w:val="auto"/>
                <w:sz w:val="24"/>
                <w:szCs w:val="24"/>
                <w:highlight w:val="none"/>
                <w:lang w:val="en-US" w:eastAsia="zh-CN"/>
              </w:rPr>
              <w:t>各设备</w:t>
            </w:r>
            <w:r>
              <w:rPr>
                <w:rFonts w:hint="default" w:ascii="Times New Roman" w:hAnsi="Times New Roman" w:cs="Times New Roman"/>
                <w:color w:val="auto"/>
                <w:sz w:val="24"/>
                <w:szCs w:val="24"/>
                <w:highlight w:val="none"/>
              </w:rPr>
              <w:t>类比同类项目相关资料，噪声源噪声强度如下表</w:t>
            </w:r>
            <w:r>
              <w:rPr>
                <w:rFonts w:hint="default" w:ascii="Times New Roman" w:hAnsi="Times New Roman" w:cs="Times New Roman"/>
                <w:color w:val="auto"/>
                <w:sz w:val="24"/>
                <w:szCs w:val="24"/>
                <w:highlight w:val="none"/>
                <w:lang w:val="en-US" w:eastAsia="zh-CN"/>
              </w:rPr>
              <w:t>4-9。</w:t>
            </w:r>
          </w:p>
          <w:p w14:paraId="7E979D5A">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表4-9   主要设备噪声一览表</w:t>
            </w:r>
          </w:p>
          <w:tbl>
            <w:tblPr>
              <w:tblStyle w:val="32"/>
              <w:tblW w:w="8238" w:type="dxa"/>
              <w:tblInd w:w="9"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43"/>
              <w:gridCol w:w="1350"/>
              <w:gridCol w:w="765"/>
              <w:gridCol w:w="690"/>
              <w:gridCol w:w="675"/>
              <w:gridCol w:w="1530"/>
              <w:gridCol w:w="930"/>
              <w:gridCol w:w="881"/>
              <w:gridCol w:w="874"/>
            </w:tblGrid>
            <w:tr w14:paraId="15D325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43" w:type="dxa"/>
                  <w:vMerge w:val="restart"/>
                  <w:tcBorders>
                    <w:tl2br w:val="nil"/>
                    <w:tr2bl w:val="nil"/>
                  </w:tcBorders>
                  <w:noWrap w:val="0"/>
                  <w:vAlign w:val="center"/>
                </w:tcPr>
                <w:p w14:paraId="1C03140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序号</w:t>
                  </w:r>
                </w:p>
              </w:tc>
              <w:tc>
                <w:tcPr>
                  <w:tcW w:w="1350" w:type="dxa"/>
                  <w:vMerge w:val="restart"/>
                  <w:tcBorders>
                    <w:tl2br w:val="nil"/>
                    <w:tr2bl w:val="nil"/>
                  </w:tcBorders>
                  <w:noWrap w:val="0"/>
                  <w:vAlign w:val="center"/>
                </w:tcPr>
                <w:p w14:paraId="4AC4730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声源名称</w:t>
                  </w:r>
                </w:p>
              </w:tc>
              <w:tc>
                <w:tcPr>
                  <w:tcW w:w="2130" w:type="dxa"/>
                  <w:gridSpan w:val="3"/>
                  <w:tcBorders>
                    <w:tl2br w:val="nil"/>
                    <w:tr2bl w:val="nil"/>
                  </w:tcBorders>
                  <w:noWrap w:val="0"/>
                  <w:vAlign w:val="center"/>
                </w:tcPr>
                <w:p w14:paraId="5953074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空间相对位置/m</w:t>
                  </w:r>
                </w:p>
              </w:tc>
              <w:tc>
                <w:tcPr>
                  <w:tcW w:w="2460" w:type="dxa"/>
                  <w:gridSpan w:val="2"/>
                  <w:tcBorders>
                    <w:tl2br w:val="nil"/>
                    <w:tr2bl w:val="nil"/>
                  </w:tcBorders>
                  <w:noWrap w:val="0"/>
                  <w:vAlign w:val="center"/>
                </w:tcPr>
                <w:p w14:paraId="1030397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声源源强（任选一种）</w:t>
                  </w:r>
                </w:p>
              </w:tc>
              <w:tc>
                <w:tcPr>
                  <w:tcW w:w="881" w:type="dxa"/>
                  <w:vMerge w:val="restart"/>
                  <w:tcBorders>
                    <w:tl2br w:val="nil"/>
                    <w:tr2bl w:val="nil"/>
                  </w:tcBorders>
                  <w:noWrap w:val="0"/>
                  <w:vAlign w:val="center"/>
                </w:tcPr>
                <w:p w14:paraId="25548CE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声源控制措施</w:t>
                  </w:r>
                </w:p>
              </w:tc>
              <w:tc>
                <w:tcPr>
                  <w:tcW w:w="874" w:type="dxa"/>
                  <w:vMerge w:val="restart"/>
                  <w:tcBorders>
                    <w:tl2br w:val="nil"/>
                    <w:tr2bl w:val="nil"/>
                  </w:tcBorders>
                  <w:noWrap w:val="0"/>
                  <w:vAlign w:val="center"/>
                </w:tcPr>
                <w:p w14:paraId="0D7CA2A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运行时段</w:t>
                  </w:r>
                </w:p>
              </w:tc>
            </w:tr>
            <w:tr w14:paraId="7449CB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543" w:type="dxa"/>
                  <w:vMerge w:val="continue"/>
                  <w:tcBorders>
                    <w:tl2br w:val="nil"/>
                    <w:tr2bl w:val="nil"/>
                  </w:tcBorders>
                  <w:noWrap w:val="0"/>
                  <w:vAlign w:val="center"/>
                </w:tcPr>
                <w:p w14:paraId="0AF3E90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1350" w:type="dxa"/>
                  <w:vMerge w:val="continue"/>
                  <w:tcBorders>
                    <w:tl2br w:val="nil"/>
                    <w:tr2bl w:val="nil"/>
                  </w:tcBorders>
                  <w:noWrap w:val="0"/>
                  <w:vAlign w:val="center"/>
                </w:tcPr>
                <w:p w14:paraId="4E2B070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765" w:type="dxa"/>
                  <w:tcBorders>
                    <w:tl2br w:val="nil"/>
                    <w:tr2bl w:val="nil"/>
                  </w:tcBorders>
                  <w:noWrap w:val="0"/>
                  <w:vAlign w:val="center"/>
                </w:tcPr>
                <w:p w14:paraId="611DF3B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X</w:t>
                  </w:r>
                </w:p>
              </w:tc>
              <w:tc>
                <w:tcPr>
                  <w:tcW w:w="690" w:type="dxa"/>
                  <w:tcBorders>
                    <w:tl2br w:val="nil"/>
                    <w:tr2bl w:val="nil"/>
                  </w:tcBorders>
                  <w:noWrap w:val="0"/>
                  <w:vAlign w:val="center"/>
                </w:tcPr>
                <w:p w14:paraId="3ACB139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Y</w:t>
                  </w:r>
                </w:p>
              </w:tc>
              <w:tc>
                <w:tcPr>
                  <w:tcW w:w="675" w:type="dxa"/>
                  <w:tcBorders>
                    <w:tl2br w:val="nil"/>
                    <w:tr2bl w:val="nil"/>
                  </w:tcBorders>
                  <w:noWrap w:val="0"/>
                  <w:vAlign w:val="center"/>
                </w:tcPr>
                <w:p w14:paraId="654C954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Z</w:t>
                  </w:r>
                </w:p>
              </w:tc>
              <w:tc>
                <w:tcPr>
                  <w:tcW w:w="1530" w:type="dxa"/>
                  <w:tcBorders>
                    <w:tl2br w:val="nil"/>
                    <w:tr2bl w:val="nil"/>
                  </w:tcBorders>
                  <w:noWrap w:val="0"/>
                  <w:vAlign w:val="center"/>
                </w:tcPr>
                <w:p w14:paraId="42D0C79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（声压级/距声源距离）/（dB（A）/m）</w:t>
                  </w:r>
                </w:p>
              </w:tc>
              <w:tc>
                <w:tcPr>
                  <w:tcW w:w="930" w:type="dxa"/>
                  <w:tcBorders>
                    <w:tl2br w:val="nil"/>
                    <w:tr2bl w:val="nil"/>
                  </w:tcBorders>
                  <w:noWrap w:val="0"/>
                  <w:vAlign w:val="center"/>
                </w:tcPr>
                <w:p w14:paraId="6EA7F38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声功率级/dB（A）</w:t>
                  </w:r>
                </w:p>
              </w:tc>
              <w:tc>
                <w:tcPr>
                  <w:tcW w:w="881" w:type="dxa"/>
                  <w:vMerge w:val="continue"/>
                  <w:tcBorders>
                    <w:tl2br w:val="nil"/>
                    <w:tr2bl w:val="nil"/>
                  </w:tcBorders>
                  <w:noWrap w:val="0"/>
                  <w:vAlign w:val="center"/>
                </w:tcPr>
                <w:p w14:paraId="41F3415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58F28F8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47D84D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4B92A86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w:t>
                  </w:r>
                </w:p>
              </w:tc>
              <w:tc>
                <w:tcPr>
                  <w:tcW w:w="1350" w:type="dxa"/>
                  <w:tcBorders>
                    <w:tl2br w:val="nil"/>
                    <w:tr2bl w:val="nil"/>
                  </w:tcBorders>
                  <w:noWrap w:val="0"/>
                  <w:vAlign w:val="center"/>
                </w:tcPr>
                <w:p w14:paraId="6FD8444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筛前提升机1</w:t>
                  </w:r>
                </w:p>
              </w:tc>
              <w:tc>
                <w:tcPr>
                  <w:tcW w:w="765" w:type="dxa"/>
                  <w:tcBorders>
                    <w:tl2br w:val="nil"/>
                    <w:tr2bl w:val="nil"/>
                  </w:tcBorders>
                  <w:noWrap w:val="0"/>
                  <w:vAlign w:val="center"/>
                </w:tcPr>
                <w:p w14:paraId="3D6875F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60</w:t>
                  </w:r>
                </w:p>
              </w:tc>
              <w:tc>
                <w:tcPr>
                  <w:tcW w:w="690" w:type="dxa"/>
                  <w:tcBorders>
                    <w:tl2br w:val="nil"/>
                    <w:tr2bl w:val="nil"/>
                  </w:tcBorders>
                  <w:noWrap w:val="0"/>
                  <w:vAlign w:val="center"/>
                </w:tcPr>
                <w:p w14:paraId="51C453A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40</w:t>
                  </w:r>
                </w:p>
              </w:tc>
              <w:tc>
                <w:tcPr>
                  <w:tcW w:w="675" w:type="dxa"/>
                  <w:tcBorders>
                    <w:tl2br w:val="nil"/>
                    <w:tr2bl w:val="nil"/>
                  </w:tcBorders>
                  <w:noWrap w:val="0"/>
                  <w:vAlign w:val="center"/>
                </w:tcPr>
                <w:p w14:paraId="23072BD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w:t>
                  </w:r>
                </w:p>
              </w:tc>
              <w:tc>
                <w:tcPr>
                  <w:tcW w:w="1530" w:type="dxa"/>
                  <w:tcBorders>
                    <w:tl2br w:val="nil"/>
                    <w:tr2bl w:val="nil"/>
                  </w:tcBorders>
                  <w:noWrap w:val="0"/>
                  <w:vAlign w:val="center"/>
                </w:tcPr>
                <w:p w14:paraId="2B0F8AD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3312E76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restart"/>
                  <w:tcBorders>
                    <w:tl2br w:val="nil"/>
                    <w:tr2bl w:val="nil"/>
                  </w:tcBorders>
                  <w:noWrap w:val="0"/>
                  <w:vAlign w:val="center"/>
                </w:tcPr>
                <w:p w14:paraId="270542F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隔声</w:t>
                  </w:r>
                  <w:r>
                    <w:rPr>
                      <w:rFonts w:hint="default"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-20</w:t>
                  </w:r>
                  <w:r>
                    <w:rPr>
                      <w:rFonts w:hint="default" w:ascii="Times New Roman" w:hAnsi="Times New Roman" w:eastAsia="宋体" w:cs="Times New Roman"/>
                      <w:color w:val="auto"/>
                      <w:kern w:val="0"/>
                      <w:sz w:val="21"/>
                      <w:szCs w:val="21"/>
                      <w:highlight w:val="none"/>
                      <w:lang w:bidi="ar"/>
                    </w:rPr>
                    <w:t>dB</w:t>
                  </w:r>
                  <w:r>
                    <w:rPr>
                      <w:rFonts w:hint="default" w:ascii="Times New Roman" w:hAnsi="Times New Roman" w:eastAsia="宋体" w:cs="Times New Roman"/>
                      <w:color w:val="auto"/>
                      <w:kern w:val="0"/>
                      <w:sz w:val="21"/>
                      <w:szCs w:val="21"/>
                      <w:highlight w:val="none"/>
                      <w:lang w:eastAsia="zh-CN" w:bidi="ar"/>
                    </w:rPr>
                    <w:t>）</w:t>
                  </w:r>
                </w:p>
              </w:tc>
              <w:tc>
                <w:tcPr>
                  <w:tcW w:w="874" w:type="dxa"/>
                  <w:vMerge w:val="restart"/>
                  <w:tcBorders>
                    <w:tl2br w:val="nil"/>
                    <w:tr2bl w:val="nil"/>
                  </w:tcBorders>
                  <w:noWrap w:val="0"/>
                  <w:vAlign w:val="center"/>
                </w:tcPr>
                <w:p w14:paraId="73DAC9D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0：00~</w:t>
                  </w:r>
                </w:p>
                <w:p w14:paraId="52EFB99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23：59</w:t>
                  </w:r>
                </w:p>
              </w:tc>
            </w:tr>
            <w:tr w14:paraId="2F8F4B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43" w:type="dxa"/>
                  <w:tcBorders>
                    <w:tl2br w:val="nil"/>
                    <w:tr2bl w:val="nil"/>
                  </w:tcBorders>
                  <w:noWrap w:val="0"/>
                  <w:vAlign w:val="center"/>
                </w:tcPr>
                <w:p w14:paraId="3B6967D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2</w:t>
                  </w:r>
                </w:p>
              </w:tc>
              <w:tc>
                <w:tcPr>
                  <w:tcW w:w="1350" w:type="dxa"/>
                  <w:tcBorders>
                    <w:tl2br w:val="nil"/>
                    <w:tr2bl w:val="nil"/>
                  </w:tcBorders>
                  <w:noWrap w:val="0"/>
                  <w:vAlign w:val="center"/>
                </w:tcPr>
                <w:p w14:paraId="02FD12A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筛前提升机2</w:t>
                  </w:r>
                </w:p>
              </w:tc>
              <w:tc>
                <w:tcPr>
                  <w:tcW w:w="765" w:type="dxa"/>
                  <w:tcBorders>
                    <w:tl2br w:val="nil"/>
                    <w:tr2bl w:val="nil"/>
                  </w:tcBorders>
                  <w:noWrap w:val="0"/>
                  <w:vAlign w:val="center"/>
                </w:tcPr>
                <w:p w14:paraId="49A9263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85</w:t>
                  </w:r>
                </w:p>
              </w:tc>
              <w:tc>
                <w:tcPr>
                  <w:tcW w:w="690" w:type="dxa"/>
                  <w:tcBorders>
                    <w:tl2br w:val="nil"/>
                    <w:tr2bl w:val="nil"/>
                  </w:tcBorders>
                  <w:noWrap w:val="0"/>
                  <w:vAlign w:val="center"/>
                </w:tcPr>
                <w:p w14:paraId="4E49CBB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40</w:t>
                  </w:r>
                </w:p>
              </w:tc>
              <w:tc>
                <w:tcPr>
                  <w:tcW w:w="675" w:type="dxa"/>
                  <w:tcBorders>
                    <w:tl2br w:val="nil"/>
                    <w:tr2bl w:val="nil"/>
                  </w:tcBorders>
                  <w:noWrap w:val="0"/>
                  <w:vAlign w:val="center"/>
                </w:tcPr>
                <w:p w14:paraId="15F188A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w:t>
                  </w:r>
                </w:p>
              </w:tc>
              <w:tc>
                <w:tcPr>
                  <w:tcW w:w="1530" w:type="dxa"/>
                  <w:tcBorders>
                    <w:tl2br w:val="nil"/>
                    <w:tr2bl w:val="nil"/>
                  </w:tcBorders>
                  <w:noWrap w:val="0"/>
                  <w:vAlign w:val="center"/>
                </w:tcPr>
                <w:p w14:paraId="2B5C434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07B3757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continue"/>
                  <w:tcBorders>
                    <w:tl2br w:val="nil"/>
                    <w:tr2bl w:val="nil"/>
                  </w:tcBorders>
                  <w:noWrap w:val="0"/>
                  <w:vAlign w:val="center"/>
                </w:tcPr>
                <w:p w14:paraId="23483DF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706782A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3FCD40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43" w:type="dxa"/>
                  <w:tcBorders>
                    <w:tl2br w:val="nil"/>
                    <w:tr2bl w:val="nil"/>
                  </w:tcBorders>
                  <w:noWrap w:val="0"/>
                  <w:vAlign w:val="center"/>
                </w:tcPr>
                <w:p w14:paraId="4BEC04F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w:t>
                  </w:r>
                </w:p>
              </w:tc>
              <w:tc>
                <w:tcPr>
                  <w:tcW w:w="1350" w:type="dxa"/>
                  <w:tcBorders>
                    <w:tl2br w:val="nil"/>
                    <w:tr2bl w:val="nil"/>
                  </w:tcBorders>
                  <w:noWrap w:val="0"/>
                  <w:vAlign w:val="center"/>
                </w:tcPr>
                <w:p w14:paraId="4BECF4E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圆筒清理筛</w:t>
                  </w:r>
                  <w:r>
                    <w:rPr>
                      <w:rFonts w:hint="default" w:ascii="Times New Roman" w:hAnsi="Times New Roman" w:eastAsia="宋体" w:cs="Times New Roman"/>
                      <w:color w:val="auto"/>
                      <w:kern w:val="0"/>
                      <w:sz w:val="21"/>
                      <w:szCs w:val="21"/>
                      <w:highlight w:val="none"/>
                      <w:lang w:val="en-US" w:eastAsia="zh-CN" w:bidi="ar"/>
                    </w:rPr>
                    <w:t>1</w:t>
                  </w:r>
                </w:p>
              </w:tc>
              <w:tc>
                <w:tcPr>
                  <w:tcW w:w="765" w:type="dxa"/>
                  <w:tcBorders>
                    <w:tl2br w:val="nil"/>
                    <w:tr2bl w:val="nil"/>
                  </w:tcBorders>
                  <w:noWrap w:val="0"/>
                  <w:vAlign w:val="center"/>
                </w:tcPr>
                <w:p w14:paraId="03B3E3E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60</w:t>
                  </w:r>
                </w:p>
              </w:tc>
              <w:tc>
                <w:tcPr>
                  <w:tcW w:w="690" w:type="dxa"/>
                  <w:tcBorders>
                    <w:tl2br w:val="nil"/>
                    <w:tr2bl w:val="nil"/>
                  </w:tcBorders>
                  <w:noWrap w:val="0"/>
                  <w:vAlign w:val="center"/>
                </w:tcPr>
                <w:p w14:paraId="1725CA6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35</w:t>
                  </w:r>
                </w:p>
              </w:tc>
              <w:tc>
                <w:tcPr>
                  <w:tcW w:w="675" w:type="dxa"/>
                  <w:tcBorders>
                    <w:tl2br w:val="nil"/>
                    <w:tr2bl w:val="nil"/>
                  </w:tcBorders>
                  <w:noWrap w:val="0"/>
                  <w:vAlign w:val="center"/>
                </w:tcPr>
                <w:p w14:paraId="54804F4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0821B77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7A2D5C57">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bidi="ar"/>
                    </w:rPr>
                    <w:t>5</w:t>
                  </w:r>
                </w:p>
              </w:tc>
              <w:tc>
                <w:tcPr>
                  <w:tcW w:w="881" w:type="dxa"/>
                  <w:vMerge w:val="continue"/>
                  <w:tcBorders>
                    <w:tl2br w:val="nil"/>
                    <w:tr2bl w:val="nil"/>
                  </w:tcBorders>
                  <w:noWrap w:val="0"/>
                  <w:vAlign w:val="center"/>
                </w:tcPr>
                <w:p w14:paraId="3C6FD0D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568BBBA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0B962D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5E8FF6B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4</w:t>
                  </w:r>
                </w:p>
              </w:tc>
              <w:tc>
                <w:tcPr>
                  <w:tcW w:w="1350" w:type="dxa"/>
                  <w:tcBorders>
                    <w:tl2br w:val="nil"/>
                    <w:tr2bl w:val="nil"/>
                  </w:tcBorders>
                  <w:noWrap w:val="0"/>
                  <w:vAlign w:val="center"/>
                </w:tcPr>
                <w:p w14:paraId="4866E8E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bidi="ar"/>
                    </w:rPr>
                    <w:t>圆筒清理筛</w:t>
                  </w:r>
                  <w:r>
                    <w:rPr>
                      <w:rFonts w:hint="default" w:ascii="Times New Roman" w:hAnsi="Times New Roman" w:eastAsia="宋体" w:cs="Times New Roman"/>
                      <w:color w:val="auto"/>
                      <w:kern w:val="0"/>
                      <w:sz w:val="21"/>
                      <w:szCs w:val="21"/>
                      <w:highlight w:val="none"/>
                      <w:lang w:val="en-US" w:eastAsia="zh-CN" w:bidi="ar"/>
                    </w:rPr>
                    <w:t>2</w:t>
                  </w:r>
                </w:p>
              </w:tc>
              <w:tc>
                <w:tcPr>
                  <w:tcW w:w="765" w:type="dxa"/>
                  <w:tcBorders>
                    <w:tl2br w:val="nil"/>
                    <w:tr2bl w:val="nil"/>
                  </w:tcBorders>
                  <w:noWrap w:val="0"/>
                  <w:vAlign w:val="center"/>
                </w:tcPr>
                <w:p w14:paraId="290A6CD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85</w:t>
                  </w:r>
                </w:p>
              </w:tc>
              <w:tc>
                <w:tcPr>
                  <w:tcW w:w="690" w:type="dxa"/>
                  <w:tcBorders>
                    <w:tl2br w:val="nil"/>
                    <w:tr2bl w:val="nil"/>
                  </w:tcBorders>
                  <w:noWrap w:val="0"/>
                  <w:vAlign w:val="center"/>
                </w:tcPr>
                <w:p w14:paraId="6C6EDCB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35</w:t>
                  </w:r>
                </w:p>
              </w:tc>
              <w:tc>
                <w:tcPr>
                  <w:tcW w:w="675" w:type="dxa"/>
                  <w:tcBorders>
                    <w:tl2br w:val="nil"/>
                    <w:tr2bl w:val="nil"/>
                  </w:tcBorders>
                  <w:noWrap w:val="0"/>
                  <w:vAlign w:val="center"/>
                </w:tcPr>
                <w:p w14:paraId="652E3BB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2DBF3B4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6C87F9D7">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bidi="ar"/>
                    </w:rPr>
                    <w:t>5</w:t>
                  </w:r>
                </w:p>
              </w:tc>
              <w:tc>
                <w:tcPr>
                  <w:tcW w:w="881" w:type="dxa"/>
                  <w:vMerge w:val="continue"/>
                  <w:tcBorders>
                    <w:tl2br w:val="nil"/>
                    <w:tr2bl w:val="nil"/>
                  </w:tcBorders>
                  <w:noWrap w:val="0"/>
                  <w:vAlign w:val="center"/>
                </w:tcPr>
                <w:p w14:paraId="5505B4D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4021C44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535E34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0675C50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w:t>
                  </w:r>
                </w:p>
              </w:tc>
              <w:tc>
                <w:tcPr>
                  <w:tcW w:w="1350" w:type="dxa"/>
                  <w:tcBorders>
                    <w:tl2br w:val="nil"/>
                    <w:tr2bl w:val="nil"/>
                  </w:tcBorders>
                  <w:noWrap w:val="0"/>
                  <w:vAlign w:val="center"/>
                </w:tcPr>
                <w:p w14:paraId="35A4DFD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塔前提升机</w:t>
                  </w:r>
                  <w:r>
                    <w:rPr>
                      <w:rFonts w:hint="default" w:ascii="Times New Roman" w:hAnsi="Times New Roman" w:eastAsia="宋体" w:cs="Times New Roman"/>
                      <w:color w:val="auto"/>
                      <w:kern w:val="0"/>
                      <w:sz w:val="21"/>
                      <w:szCs w:val="21"/>
                      <w:highlight w:val="none"/>
                      <w:lang w:val="en-US" w:eastAsia="zh-CN" w:bidi="ar"/>
                    </w:rPr>
                    <w:t>1</w:t>
                  </w:r>
                </w:p>
              </w:tc>
              <w:tc>
                <w:tcPr>
                  <w:tcW w:w="765" w:type="dxa"/>
                  <w:tcBorders>
                    <w:tl2br w:val="nil"/>
                    <w:tr2bl w:val="nil"/>
                  </w:tcBorders>
                  <w:noWrap w:val="0"/>
                  <w:vAlign w:val="center"/>
                </w:tcPr>
                <w:p w14:paraId="5B69AA3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60</w:t>
                  </w:r>
                </w:p>
              </w:tc>
              <w:tc>
                <w:tcPr>
                  <w:tcW w:w="690" w:type="dxa"/>
                  <w:tcBorders>
                    <w:tl2br w:val="nil"/>
                    <w:tr2bl w:val="nil"/>
                  </w:tcBorders>
                  <w:noWrap w:val="0"/>
                  <w:vAlign w:val="center"/>
                </w:tcPr>
                <w:p w14:paraId="08FBE15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25</w:t>
                  </w:r>
                </w:p>
              </w:tc>
              <w:tc>
                <w:tcPr>
                  <w:tcW w:w="675" w:type="dxa"/>
                  <w:tcBorders>
                    <w:tl2br w:val="nil"/>
                    <w:tr2bl w:val="nil"/>
                  </w:tcBorders>
                  <w:noWrap w:val="0"/>
                  <w:vAlign w:val="center"/>
                </w:tcPr>
                <w:p w14:paraId="05E9A052">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41</w:t>
                  </w:r>
                </w:p>
              </w:tc>
              <w:tc>
                <w:tcPr>
                  <w:tcW w:w="1530" w:type="dxa"/>
                  <w:tcBorders>
                    <w:tl2br w:val="nil"/>
                    <w:tr2bl w:val="nil"/>
                  </w:tcBorders>
                  <w:noWrap w:val="0"/>
                  <w:vAlign w:val="center"/>
                </w:tcPr>
                <w:p w14:paraId="615276C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48CA3C5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continue"/>
                  <w:tcBorders>
                    <w:tl2br w:val="nil"/>
                    <w:tr2bl w:val="nil"/>
                  </w:tcBorders>
                  <w:noWrap w:val="0"/>
                  <w:vAlign w:val="center"/>
                </w:tcPr>
                <w:p w14:paraId="7E04C56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579B166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6777D7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43B0B81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w:t>
                  </w:r>
                </w:p>
              </w:tc>
              <w:tc>
                <w:tcPr>
                  <w:tcW w:w="1350" w:type="dxa"/>
                  <w:tcBorders>
                    <w:tl2br w:val="nil"/>
                    <w:tr2bl w:val="nil"/>
                  </w:tcBorders>
                  <w:noWrap w:val="0"/>
                  <w:vAlign w:val="center"/>
                </w:tcPr>
                <w:p w14:paraId="160281F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塔前提升机</w:t>
                  </w:r>
                  <w:r>
                    <w:rPr>
                      <w:rFonts w:hint="default" w:ascii="Times New Roman" w:hAnsi="Times New Roman" w:eastAsia="宋体" w:cs="Times New Roman"/>
                      <w:color w:val="auto"/>
                      <w:kern w:val="0"/>
                      <w:sz w:val="21"/>
                      <w:szCs w:val="21"/>
                      <w:highlight w:val="none"/>
                      <w:lang w:val="en-US" w:eastAsia="zh-CN" w:bidi="ar"/>
                    </w:rPr>
                    <w:t>2</w:t>
                  </w:r>
                </w:p>
              </w:tc>
              <w:tc>
                <w:tcPr>
                  <w:tcW w:w="765" w:type="dxa"/>
                  <w:tcBorders>
                    <w:tl2br w:val="nil"/>
                    <w:tr2bl w:val="nil"/>
                  </w:tcBorders>
                  <w:noWrap w:val="0"/>
                  <w:vAlign w:val="center"/>
                </w:tcPr>
                <w:p w14:paraId="6250879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85</w:t>
                  </w:r>
                </w:p>
              </w:tc>
              <w:tc>
                <w:tcPr>
                  <w:tcW w:w="690" w:type="dxa"/>
                  <w:tcBorders>
                    <w:tl2br w:val="nil"/>
                    <w:tr2bl w:val="nil"/>
                  </w:tcBorders>
                  <w:noWrap w:val="0"/>
                  <w:vAlign w:val="center"/>
                </w:tcPr>
                <w:p w14:paraId="054F072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25</w:t>
                  </w:r>
                </w:p>
              </w:tc>
              <w:tc>
                <w:tcPr>
                  <w:tcW w:w="675" w:type="dxa"/>
                  <w:tcBorders>
                    <w:tl2br w:val="nil"/>
                    <w:tr2bl w:val="nil"/>
                  </w:tcBorders>
                  <w:noWrap w:val="0"/>
                  <w:vAlign w:val="center"/>
                </w:tcPr>
                <w:p w14:paraId="120F452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41</w:t>
                  </w:r>
                </w:p>
              </w:tc>
              <w:tc>
                <w:tcPr>
                  <w:tcW w:w="1530" w:type="dxa"/>
                  <w:tcBorders>
                    <w:tl2br w:val="nil"/>
                    <w:tr2bl w:val="nil"/>
                  </w:tcBorders>
                  <w:noWrap w:val="0"/>
                  <w:vAlign w:val="center"/>
                </w:tcPr>
                <w:p w14:paraId="01F2243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460C07D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continue"/>
                  <w:tcBorders>
                    <w:tl2br w:val="nil"/>
                    <w:tr2bl w:val="nil"/>
                  </w:tcBorders>
                  <w:noWrap w:val="0"/>
                  <w:vAlign w:val="center"/>
                </w:tcPr>
                <w:p w14:paraId="693B4B8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49624A2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7DFB13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0ECF1D3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w:t>
                  </w:r>
                </w:p>
              </w:tc>
              <w:tc>
                <w:tcPr>
                  <w:tcW w:w="1350" w:type="dxa"/>
                  <w:tcBorders>
                    <w:tl2br w:val="nil"/>
                    <w:tr2bl w:val="nil"/>
                  </w:tcBorders>
                  <w:noWrap w:val="0"/>
                  <w:vAlign w:val="center"/>
                </w:tcPr>
                <w:p w14:paraId="5B3B709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热风炉</w:t>
                  </w:r>
                  <w:r>
                    <w:rPr>
                      <w:rFonts w:hint="default" w:ascii="Times New Roman" w:hAnsi="Times New Roman" w:eastAsia="宋体" w:cs="Times New Roman"/>
                      <w:color w:val="auto"/>
                      <w:kern w:val="0"/>
                      <w:sz w:val="21"/>
                      <w:szCs w:val="21"/>
                      <w:highlight w:val="none"/>
                      <w:lang w:val="en-US" w:eastAsia="zh-CN" w:bidi="ar"/>
                    </w:rPr>
                    <w:t>1</w:t>
                  </w:r>
                </w:p>
              </w:tc>
              <w:tc>
                <w:tcPr>
                  <w:tcW w:w="765" w:type="dxa"/>
                  <w:tcBorders>
                    <w:tl2br w:val="nil"/>
                    <w:tr2bl w:val="nil"/>
                  </w:tcBorders>
                  <w:noWrap w:val="0"/>
                  <w:vAlign w:val="center"/>
                </w:tcPr>
                <w:p w14:paraId="1CD2F7F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50</w:t>
                  </w:r>
                </w:p>
              </w:tc>
              <w:tc>
                <w:tcPr>
                  <w:tcW w:w="690" w:type="dxa"/>
                  <w:tcBorders>
                    <w:tl2br w:val="nil"/>
                    <w:tr2bl w:val="nil"/>
                  </w:tcBorders>
                  <w:noWrap w:val="0"/>
                  <w:vAlign w:val="center"/>
                </w:tcPr>
                <w:p w14:paraId="090995E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675" w:type="dxa"/>
                  <w:tcBorders>
                    <w:tl2br w:val="nil"/>
                    <w:tr2bl w:val="nil"/>
                  </w:tcBorders>
                  <w:noWrap w:val="0"/>
                  <w:vAlign w:val="center"/>
                </w:tcPr>
                <w:p w14:paraId="4C491DC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1530" w:type="dxa"/>
                  <w:tcBorders>
                    <w:tl2br w:val="nil"/>
                    <w:tr2bl w:val="nil"/>
                  </w:tcBorders>
                  <w:noWrap w:val="0"/>
                  <w:vAlign w:val="center"/>
                </w:tcPr>
                <w:p w14:paraId="0AB42AD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shd w:val="clear" w:color="auto" w:fill="auto"/>
                  <w:noWrap w:val="0"/>
                  <w:vAlign w:val="center"/>
                </w:tcPr>
                <w:p w14:paraId="7297B37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75</w:t>
                  </w:r>
                </w:p>
              </w:tc>
              <w:tc>
                <w:tcPr>
                  <w:tcW w:w="881" w:type="dxa"/>
                  <w:vMerge w:val="restart"/>
                  <w:tcBorders>
                    <w:tl2br w:val="nil"/>
                    <w:tr2bl w:val="nil"/>
                  </w:tcBorders>
                  <w:noWrap w:val="0"/>
                  <w:vAlign w:val="center"/>
                </w:tcPr>
                <w:p w14:paraId="064AF56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减振</w:t>
                  </w:r>
                  <w:r>
                    <w:rPr>
                      <w:rFonts w:hint="default"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-10</w:t>
                  </w:r>
                  <w:r>
                    <w:rPr>
                      <w:rFonts w:hint="default" w:ascii="Times New Roman" w:hAnsi="Times New Roman" w:eastAsia="宋体" w:cs="Times New Roman"/>
                      <w:color w:val="auto"/>
                      <w:kern w:val="0"/>
                      <w:sz w:val="21"/>
                      <w:szCs w:val="21"/>
                      <w:highlight w:val="none"/>
                      <w:lang w:bidi="ar"/>
                    </w:rPr>
                    <w:t>dB</w:t>
                  </w:r>
                  <w:r>
                    <w:rPr>
                      <w:rFonts w:hint="default" w:ascii="Times New Roman" w:hAnsi="Times New Roman" w:eastAsia="宋体" w:cs="Times New Roman"/>
                      <w:color w:val="auto"/>
                      <w:kern w:val="0"/>
                      <w:sz w:val="21"/>
                      <w:szCs w:val="21"/>
                      <w:highlight w:val="none"/>
                      <w:lang w:eastAsia="zh-CN" w:bidi="ar"/>
                    </w:rPr>
                    <w:t>）</w:t>
                  </w:r>
                </w:p>
              </w:tc>
              <w:tc>
                <w:tcPr>
                  <w:tcW w:w="874" w:type="dxa"/>
                  <w:vMerge w:val="continue"/>
                  <w:tcBorders>
                    <w:tl2br w:val="nil"/>
                    <w:tr2bl w:val="nil"/>
                  </w:tcBorders>
                  <w:noWrap w:val="0"/>
                  <w:vAlign w:val="center"/>
                </w:tcPr>
                <w:p w14:paraId="445ACF2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019B55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21685C7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w:t>
                  </w:r>
                </w:p>
              </w:tc>
              <w:tc>
                <w:tcPr>
                  <w:tcW w:w="1350" w:type="dxa"/>
                  <w:tcBorders>
                    <w:tl2br w:val="nil"/>
                    <w:tr2bl w:val="nil"/>
                  </w:tcBorders>
                  <w:noWrap w:val="0"/>
                  <w:vAlign w:val="center"/>
                </w:tcPr>
                <w:p w14:paraId="7C47EED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热风炉</w:t>
                  </w:r>
                  <w:r>
                    <w:rPr>
                      <w:rFonts w:hint="default" w:ascii="Times New Roman" w:hAnsi="Times New Roman" w:eastAsia="宋体" w:cs="Times New Roman"/>
                      <w:color w:val="auto"/>
                      <w:kern w:val="0"/>
                      <w:sz w:val="21"/>
                      <w:szCs w:val="21"/>
                      <w:highlight w:val="none"/>
                      <w:lang w:val="en-US" w:eastAsia="zh-CN" w:bidi="ar"/>
                    </w:rPr>
                    <w:t>2</w:t>
                  </w:r>
                </w:p>
              </w:tc>
              <w:tc>
                <w:tcPr>
                  <w:tcW w:w="765" w:type="dxa"/>
                  <w:tcBorders>
                    <w:tl2br w:val="nil"/>
                    <w:tr2bl w:val="nil"/>
                  </w:tcBorders>
                  <w:noWrap w:val="0"/>
                  <w:vAlign w:val="center"/>
                </w:tcPr>
                <w:p w14:paraId="44FC44C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90</w:t>
                  </w:r>
                </w:p>
              </w:tc>
              <w:tc>
                <w:tcPr>
                  <w:tcW w:w="690" w:type="dxa"/>
                  <w:tcBorders>
                    <w:tl2br w:val="nil"/>
                    <w:tr2bl w:val="nil"/>
                  </w:tcBorders>
                  <w:noWrap w:val="0"/>
                  <w:vAlign w:val="center"/>
                </w:tcPr>
                <w:p w14:paraId="6DF6A44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675" w:type="dxa"/>
                  <w:tcBorders>
                    <w:tl2br w:val="nil"/>
                    <w:tr2bl w:val="nil"/>
                  </w:tcBorders>
                  <w:noWrap w:val="0"/>
                  <w:vAlign w:val="center"/>
                </w:tcPr>
                <w:p w14:paraId="035C293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1530" w:type="dxa"/>
                  <w:tcBorders>
                    <w:tl2br w:val="nil"/>
                    <w:tr2bl w:val="nil"/>
                  </w:tcBorders>
                  <w:noWrap w:val="0"/>
                  <w:vAlign w:val="center"/>
                </w:tcPr>
                <w:p w14:paraId="6F8B0C3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shd w:val="clear" w:color="auto" w:fill="auto"/>
                  <w:noWrap w:val="0"/>
                  <w:vAlign w:val="center"/>
                </w:tcPr>
                <w:p w14:paraId="4E5BECF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75</w:t>
                  </w:r>
                </w:p>
              </w:tc>
              <w:tc>
                <w:tcPr>
                  <w:tcW w:w="881" w:type="dxa"/>
                  <w:vMerge w:val="continue"/>
                  <w:tcBorders>
                    <w:tl2br w:val="nil"/>
                    <w:tr2bl w:val="nil"/>
                  </w:tcBorders>
                  <w:noWrap w:val="0"/>
                  <w:vAlign w:val="center"/>
                </w:tcPr>
                <w:p w14:paraId="445AFE7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36F4457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69B09E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5A12CE6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w:t>
                  </w:r>
                </w:p>
              </w:tc>
              <w:tc>
                <w:tcPr>
                  <w:tcW w:w="1350" w:type="dxa"/>
                  <w:tcBorders>
                    <w:tl2br w:val="nil"/>
                    <w:tr2bl w:val="nil"/>
                  </w:tcBorders>
                  <w:noWrap w:val="0"/>
                  <w:vAlign w:val="center"/>
                </w:tcPr>
                <w:p w14:paraId="681BA48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除尘器</w:t>
                  </w:r>
                  <w:r>
                    <w:rPr>
                      <w:rFonts w:hint="default" w:ascii="Times New Roman" w:hAnsi="Times New Roman" w:eastAsia="宋体" w:cs="Times New Roman"/>
                      <w:color w:val="auto"/>
                      <w:kern w:val="0"/>
                      <w:sz w:val="21"/>
                      <w:szCs w:val="21"/>
                      <w:highlight w:val="none"/>
                      <w:lang w:val="en-US" w:eastAsia="zh-CN" w:bidi="ar"/>
                    </w:rPr>
                    <w:t>1</w:t>
                  </w:r>
                </w:p>
              </w:tc>
              <w:tc>
                <w:tcPr>
                  <w:tcW w:w="765" w:type="dxa"/>
                  <w:tcBorders>
                    <w:tl2br w:val="nil"/>
                    <w:tr2bl w:val="nil"/>
                  </w:tcBorders>
                  <w:noWrap w:val="0"/>
                  <w:vAlign w:val="center"/>
                </w:tcPr>
                <w:p w14:paraId="657C276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48</w:t>
                  </w:r>
                </w:p>
              </w:tc>
              <w:tc>
                <w:tcPr>
                  <w:tcW w:w="690" w:type="dxa"/>
                  <w:tcBorders>
                    <w:tl2br w:val="nil"/>
                    <w:tr2bl w:val="nil"/>
                  </w:tcBorders>
                  <w:noWrap w:val="0"/>
                  <w:vAlign w:val="center"/>
                </w:tcPr>
                <w:p w14:paraId="6C650CF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675" w:type="dxa"/>
                  <w:tcBorders>
                    <w:tl2br w:val="nil"/>
                    <w:tr2bl w:val="nil"/>
                  </w:tcBorders>
                  <w:noWrap w:val="0"/>
                  <w:vAlign w:val="center"/>
                </w:tcPr>
                <w:p w14:paraId="17EBF1C4">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0024B6F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5000175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80</w:t>
                  </w:r>
                </w:p>
              </w:tc>
              <w:tc>
                <w:tcPr>
                  <w:tcW w:w="881" w:type="dxa"/>
                  <w:vMerge w:val="continue"/>
                  <w:tcBorders>
                    <w:tl2br w:val="nil"/>
                    <w:tr2bl w:val="nil"/>
                  </w:tcBorders>
                  <w:noWrap w:val="0"/>
                  <w:vAlign w:val="center"/>
                </w:tcPr>
                <w:p w14:paraId="3B8D400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71B25FD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7E66A2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0EB1E0B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w:t>
                  </w:r>
                </w:p>
              </w:tc>
              <w:tc>
                <w:tcPr>
                  <w:tcW w:w="1350" w:type="dxa"/>
                  <w:tcBorders>
                    <w:tl2br w:val="nil"/>
                    <w:tr2bl w:val="nil"/>
                  </w:tcBorders>
                  <w:noWrap w:val="0"/>
                  <w:vAlign w:val="center"/>
                </w:tcPr>
                <w:p w14:paraId="52F9FA2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除尘器</w:t>
                  </w:r>
                  <w:r>
                    <w:rPr>
                      <w:rFonts w:hint="default" w:ascii="Times New Roman" w:hAnsi="Times New Roman" w:eastAsia="宋体" w:cs="Times New Roman"/>
                      <w:color w:val="auto"/>
                      <w:kern w:val="0"/>
                      <w:sz w:val="21"/>
                      <w:szCs w:val="21"/>
                      <w:highlight w:val="none"/>
                      <w:lang w:val="en-US" w:eastAsia="zh-CN" w:bidi="ar"/>
                    </w:rPr>
                    <w:t>2</w:t>
                  </w:r>
                </w:p>
              </w:tc>
              <w:tc>
                <w:tcPr>
                  <w:tcW w:w="765" w:type="dxa"/>
                  <w:tcBorders>
                    <w:tl2br w:val="nil"/>
                    <w:tr2bl w:val="nil"/>
                  </w:tcBorders>
                  <w:noWrap w:val="0"/>
                  <w:vAlign w:val="center"/>
                </w:tcPr>
                <w:p w14:paraId="6BF4723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92</w:t>
                  </w:r>
                </w:p>
              </w:tc>
              <w:tc>
                <w:tcPr>
                  <w:tcW w:w="690" w:type="dxa"/>
                  <w:tcBorders>
                    <w:tl2br w:val="nil"/>
                    <w:tr2bl w:val="nil"/>
                  </w:tcBorders>
                  <w:noWrap w:val="0"/>
                  <w:vAlign w:val="center"/>
                </w:tcPr>
                <w:p w14:paraId="2385538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w:t>
                  </w:r>
                </w:p>
              </w:tc>
              <w:tc>
                <w:tcPr>
                  <w:tcW w:w="675" w:type="dxa"/>
                  <w:tcBorders>
                    <w:tl2br w:val="nil"/>
                    <w:tr2bl w:val="nil"/>
                  </w:tcBorders>
                  <w:noWrap w:val="0"/>
                  <w:vAlign w:val="center"/>
                </w:tcPr>
                <w:p w14:paraId="1547962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4290A4B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6A1A848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80</w:t>
                  </w:r>
                </w:p>
              </w:tc>
              <w:tc>
                <w:tcPr>
                  <w:tcW w:w="881" w:type="dxa"/>
                  <w:vMerge w:val="continue"/>
                  <w:tcBorders>
                    <w:tl2br w:val="nil"/>
                    <w:tr2bl w:val="nil"/>
                  </w:tcBorders>
                  <w:noWrap w:val="0"/>
                  <w:vAlign w:val="center"/>
                </w:tcPr>
                <w:p w14:paraId="54071A4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0292943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2DD177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3EE83D3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w:t>
                  </w:r>
                </w:p>
              </w:tc>
              <w:tc>
                <w:tcPr>
                  <w:tcW w:w="1350" w:type="dxa"/>
                  <w:tcBorders>
                    <w:tl2br w:val="nil"/>
                    <w:tr2bl w:val="nil"/>
                  </w:tcBorders>
                  <w:noWrap w:val="0"/>
                  <w:vAlign w:val="center"/>
                </w:tcPr>
                <w:p w14:paraId="0769EF1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脱硫塔</w:t>
                  </w:r>
                  <w:r>
                    <w:rPr>
                      <w:rFonts w:hint="default" w:ascii="Times New Roman" w:hAnsi="Times New Roman" w:eastAsia="宋体" w:cs="Times New Roman"/>
                      <w:color w:val="auto"/>
                      <w:kern w:val="0"/>
                      <w:sz w:val="21"/>
                      <w:szCs w:val="21"/>
                      <w:highlight w:val="none"/>
                      <w:lang w:val="en-US" w:eastAsia="zh-CN" w:bidi="ar"/>
                    </w:rPr>
                    <w:t>1</w:t>
                  </w:r>
                </w:p>
              </w:tc>
              <w:tc>
                <w:tcPr>
                  <w:tcW w:w="765" w:type="dxa"/>
                  <w:tcBorders>
                    <w:tl2br w:val="nil"/>
                    <w:tr2bl w:val="nil"/>
                  </w:tcBorders>
                  <w:noWrap w:val="0"/>
                  <w:vAlign w:val="center"/>
                </w:tcPr>
                <w:p w14:paraId="7049C04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48</w:t>
                  </w:r>
                </w:p>
              </w:tc>
              <w:tc>
                <w:tcPr>
                  <w:tcW w:w="690" w:type="dxa"/>
                  <w:tcBorders>
                    <w:tl2br w:val="nil"/>
                    <w:tr2bl w:val="nil"/>
                  </w:tcBorders>
                  <w:noWrap w:val="0"/>
                  <w:vAlign w:val="center"/>
                </w:tcPr>
                <w:p w14:paraId="66A5564D">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15</w:t>
                  </w:r>
                </w:p>
              </w:tc>
              <w:tc>
                <w:tcPr>
                  <w:tcW w:w="675" w:type="dxa"/>
                  <w:tcBorders>
                    <w:tl2br w:val="nil"/>
                    <w:tr2bl w:val="nil"/>
                  </w:tcBorders>
                  <w:noWrap w:val="0"/>
                  <w:vAlign w:val="center"/>
                </w:tcPr>
                <w:p w14:paraId="333D899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65AEEA5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6305285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75</w:t>
                  </w:r>
                </w:p>
              </w:tc>
              <w:tc>
                <w:tcPr>
                  <w:tcW w:w="881" w:type="dxa"/>
                  <w:vMerge w:val="continue"/>
                  <w:tcBorders>
                    <w:tl2br w:val="nil"/>
                    <w:tr2bl w:val="nil"/>
                  </w:tcBorders>
                  <w:noWrap w:val="0"/>
                  <w:vAlign w:val="center"/>
                </w:tcPr>
                <w:p w14:paraId="09BA19B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4D999F4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4A12C3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31E9810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12</w:t>
                  </w:r>
                </w:p>
              </w:tc>
              <w:tc>
                <w:tcPr>
                  <w:tcW w:w="1350" w:type="dxa"/>
                  <w:tcBorders>
                    <w:tl2br w:val="nil"/>
                    <w:tr2bl w:val="nil"/>
                  </w:tcBorders>
                  <w:noWrap w:val="0"/>
                  <w:vAlign w:val="center"/>
                </w:tcPr>
                <w:p w14:paraId="6B94BCD6">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脱硫塔</w:t>
                  </w:r>
                  <w:r>
                    <w:rPr>
                      <w:rFonts w:hint="default" w:ascii="Times New Roman" w:hAnsi="Times New Roman" w:eastAsia="宋体" w:cs="Times New Roman"/>
                      <w:color w:val="auto"/>
                      <w:kern w:val="0"/>
                      <w:sz w:val="21"/>
                      <w:szCs w:val="21"/>
                      <w:highlight w:val="none"/>
                      <w:lang w:val="en-US" w:eastAsia="zh-CN" w:bidi="ar"/>
                    </w:rPr>
                    <w:t>2</w:t>
                  </w:r>
                </w:p>
              </w:tc>
              <w:tc>
                <w:tcPr>
                  <w:tcW w:w="765" w:type="dxa"/>
                  <w:tcBorders>
                    <w:tl2br w:val="nil"/>
                    <w:tr2bl w:val="nil"/>
                  </w:tcBorders>
                  <w:noWrap w:val="0"/>
                  <w:vAlign w:val="center"/>
                </w:tcPr>
                <w:p w14:paraId="45924FC9">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92</w:t>
                  </w:r>
                </w:p>
              </w:tc>
              <w:tc>
                <w:tcPr>
                  <w:tcW w:w="690" w:type="dxa"/>
                  <w:tcBorders>
                    <w:tl2br w:val="nil"/>
                    <w:tr2bl w:val="nil"/>
                  </w:tcBorders>
                  <w:noWrap w:val="0"/>
                  <w:vAlign w:val="center"/>
                </w:tcPr>
                <w:p w14:paraId="63AFC97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15</w:t>
                  </w:r>
                </w:p>
              </w:tc>
              <w:tc>
                <w:tcPr>
                  <w:tcW w:w="675" w:type="dxa"/>
                  <w:tcBorders>
                    <w:tl2br w:val="nil"/>
                    <w:tr2bl w:val="nil"/>
                  </w:tcBorders>
                  <w:noWrap w:val="0"/>
                  <w:vAlign w:val="center"/>
                </w:tcPr>
                <w:p w14:paraId="65BAD20A">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1.2</w:t>
                  </w:r>
                </w:p>
              </w:tc>
              <w:tc>
                <w:tcPr>
                  <w:tcW w:w="1530" w:type="dxa"/>
                  <w:tcBorders>
                    <w:tl2br w:val="nil"/>
                    <w:tr2bl w:val="nil"/>
                  </w:tcBorders>
                  <w:noWrap w:val="0"/>
                  <w:vAlign w:val="center"/>
                </w:tcPr>
                <w:p w14:paraId="103E593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w:t>
                  </w:r>
                </w:p>
              </w:tc>
              <w:tc>
                <w:tcPr>
                  <w:tcW w:w="930" w:type="dxa"/>
                  <w:tcBorders>
                    <w:tl2br w:val="nil"/>
                    <w:tr2bl w:val="nil"/>
                  </w:tcBorders>
                  <w:noWrap w:val="0"/>
                  <w:vAlign w:val="center"/>
                </w:tcPr>
                <w:p w14:paraId="722DB99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75</w:t>
                  </w:r>
                </w:p>
              </w:tc>
              <w:tc>
                <w:tcPr>
                  <w:tcW w:w="881" w:type="dxa"/>
                  <w:vMerge w:val="continue"/>
                  <w:tcBorders>
                    <w:tl2br w:val="nil"/>
                    <w:tr2bl w:val="nil"/>
                  </w:tcBorders>
                  <w:noWrap w:val="0"/>
                  <w:vAlign w:val="center"/>
                </w:tcPr>
                <w:p w14:paraId="0BBC1177">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5874475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109EDA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071D1EC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13</w:t>
                  </w:r>
                </w:p>
              </w:tc>
              <w:tc>
                <w:tcPr>
                  <w:tcW w:w="1350" w:type="dxa"/>
                  <w:tcBorders>
                    <w:tl2br w:val="nil"/>
                    <w:tr2bl w:val="nil"/>
                  </w:tcBorders>
                  <w:noWrap w:val="0"/>
                  <w:vAlign w:val="center"/>
                </w:tcPr>
                <w:p w14:paraId="233A074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仓前提升机1</w:t>
                  </w:r>
                </w:p>
              </w:tc>
              <w:tc>
                <w:tcPr>
                  <w:tcW w:w="765" w:type="dxa"/>
                  <w:tcBorders>
                    <w:tl2br w:val="nil"/>
                    <w:tr2bl w:val="nil"/>
                  </w:tcBorders>
                  <w:noWrap w:val="0"/>
                  <w:vAlign w:val="center"/>
                </w:tcPr>
                <w:p w14:paraId="45F7773B">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60</w:t>
                  </w:r>
                </w:p>
              </w:tc>
              <w:tc>
                <w:tcPr>
                  <w:tcW w:w="690" w:type="dxa"/>
                  <w:tcBorders>
                    <w:tl2br w:val="nil"/>
                    <w:tr2bl w:val="nil"/>
                  </w:tcBorders>
                  <w:noWrap w:val="0"/>
                  <w:vAlign w:val="center"/>
                </w:tcPr>
                <w:p w14:paraId="7C60DE77">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35</w:t>
                  </w:r>
                </w:p>
              </w:tc>
              <w:tc>
                <w:tcPr>
                  <w:tcW w:w="675" w:type="dxa"/>
                  <w:tcBorders>
                    <w:tl2br w:val="nil"/>
                    <w:tr2bl w:val="nil"/>
                  </w:tcBorders>
                  <w:noWrap w:val="0"/>
                  <w:vAlign w:val="center"/>
                </w:tcPr>
                <w:p w14:paraId="172362AF">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37</w:t>
                  </w:r>
                </w:p>
              </w:tc>
              <w:tc>
                <w:tcPr>
                  <w:tcW w:w="1530" w:type="dxa"/>
                  <w:tcBorders>
                    <w:tl2br w:val="nil"/>
                    <w:tr2bl w:val="nil"/>
                  </w:tcBorders>
                  <w:noWrap w:val="0"/>
                  <w:vAlign w:val="center"/>
                </w:tcPr>
                <w:p w14:paraId="624B25F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930" w:type="dxa"/>
                  <w:tcBorders>
                    <w:tl2br w:val="nil"/>
                    <w:tr2bl w:val="nil"/>
                  </w:tcBorders>
                  <w:noWrap w:val="0"/>
                  <w:vAlign w:val="center"/>
                </w:tcPr>
                <w:p w14:paraId="0F914EF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restart"/>
                  <w:tcBorders>
                    <w:tl2br w:val="nil"/>
                    <w:tr2bl w:val="nil"/>
                  </w:tcBorders>
                  <w:noWrap w:val="0"/>
                  <w:vAlign w:val="center"/>
                </w:tcPr>
                <w:p w14:paraId="2EF063E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隔声</w:t>
                  </w:r>
                  <w:r>
                    <w:rPr>
                      <w:rFonts w:hint="default"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-20</w:t>
                  </w:r>
                  <w:r>
                    <w:rPr>
                      <w:rFonts w:hint="default" w:ascii="Times New Roman" w:hAnsi="Times New Roman" w:eastAsia="宋体" w:cs="Times New Roman"/>
                      <w:color w:val="auto"/>
                      <w:kern w:val="0"/>
                      <w:sz w:val="21"/>
                      <w:szCs w:val="21"/>
                      <w:highlight w:val="none"/>
                      <w:lang w:bidi="ar"/>
                    </w:rPr>
                    <w:t>dB</w:t>
                  </w:r>
                  <w:r>
                    <w:rPr>
                      <w:rFonts w:hint="default" w:ascii="Times New Roman" w:hAnsi="Times New Roman" w:eastAsia="宋体" w:cs="Times New Roman"/>
                      <w:color w:val="auto"/>
                      <w:kern w:val="0"/>
                      <w:sz w:val="21"/>
                      <w:szCs w:val="21"/>
                      <w:highlight w:val="none"/>
                      <w:lang w:eastAsia="zh-CN" w:bidi="ar"/>
                    </w:rPr>
                    <w:t>）</w:t>
                  </w:r>
                </w:p>
              </w:tc>
              <w:tc>
                <w:tcPr>
                  <w:tcW w:w="874" w:type="dxa"/>
                  <w:vMerge w:val="continue"/>
                  <w:tcBorders>
                    <w:tl2br w:val="nil"/>
                    <w:tr2bl w:val="nil"/>
                  </w:tcBorders>
                  <w:noWrap w:val="0"/>
                  <w:vAlign w:val="center"/>
                </w:tcPr>
                <w:p w14:paraId="5AA281E3">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r w14:paraId="4B8D1F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43" w:type="dxa"/>
                  <w:tcBorders>
                    <w:tl2br w:val="nil"/>
                    <w:tr2bl w:val="nil"/>
                  </w:tcBorders>
                  <w:noWrap w:val="0"/>
                  <w:vAlign w:val="center"/>
                </w:tcPr>
                <w:p w14:paraId="2A331E61">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14</w:t>
                  </w:r>
                </w:p>
              </w:tc>
              <w:tc>
                <w:tcPr>
                  <w:tcW w:w="1350" w:type="dxa"/>
                  <w:tcBorders>
                    <w:tl2br w:val="nil"/>
                    <w:tr2bl w:val="nil"/>
                  </w:tcBorders>
                  <w:noWrap w:val="0"/>
                  <w:vAlign w:val="center"/>
                </w:tcPr>
                <w:p w14:paraId="37B9B4AE">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仓前提升机2</w:t>
                  </w:r>
                </w:p>
              </w:tc>
              <w:tc>
                <w:tcPr>
                  <w:tcW w:w="765" w:type="dxa"/>
                  <w:tcBorders>
                    <w:tl2br w:val="nil"/>
                    <w:tr2bl w:val="nil"/>
                  </w:tcBorders>
                  <w:noWrap w:val="0"/>
                  <w:vAlign w:val="center"/>
                </w:tcPr>
                <w:p w14:paraId="7F6DFEA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85</w:t>
                  </w:r>
                </w:p>
              </w:tc>
              <w:tc>
                <w:tcPr>
                  <w:tcW w:w="690" w:type="dxa"/>
                  <w:tcBorders>
                    <w:tl2br w:val="nil"/>
                    <w:tr2bl w:val="nil"/>
                  </w:tcBorders>
                  <w:noWrap w:val="0"/>
                  <w:vAlign w:val="center"/>
                </w:tcPr>
                <w:p w14:paraId="725750FC">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35</w:t>
                  </w:r>
                </w:p>
              </w:tc>
              <w:tc>
                <w:tcPr>
                  <w:tcW w:w="675" w:type="dxa"/>
                  <w:tcBorders>
                    <w:tl2br w:val="nil"/>
                    <w:tr2bl w:val="nil"/>
                  </w:tcBorders>
                  <w:noWrap w:val="0"/>
                  <w:vAlign w:val="center"/>
                </w:tcPr>
                <w:p w14:paraId="3D26E4E5">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37</w:t>
                  </w:r>
                </w:p>
              </w:tc>
              <w:tc>
                <w:tcPr>
                  <w:tcW w:w="1530" w:type="dxa"/>
                  <w:tcBorders>
                    <w:tl2br w:val="nil"/>
                    <w:tr2bl w:val="nil"/>
                  </w:tcBorders>
                  <w:noWrap w:val="0"/>
                  <w:vAlign w:val="center"/>
                </w:tcPr>
                <w:p w14:paraId="15B6C1F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930" w:type="dxa"/>
                  <w:tcBorders>
                    <w:tl2br w:val="nil"/>
                    <w:tr2bl w:val="nil"/>
                  </w:tcBorders>
                  <w:noWrap w:val="0"/>
                  <w:vAlign w:val="center"/>
                </w:tcPr>
                <w:p w14:paraId="6AFCEAB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70</w:t>
                  </w:r>
                </w:p>
              </w:tc>
              <w:tc>
                <w:tcPr>
                  <w:tcW w:w="881" w:type="dxa"/>
                  <w:vMerge w:val="continue"/>
                  <w:tcBorders>
                    <w:tl2br w:val="nil"/>
                    <w:tr2bl w:val="nil"/>
                  </w:tcBorders>
                  <w:noWrap w:val="0"/>
                  <w:vAlign w:val="center"/>
                </w:tcPr>
                <w:p w14:paraId="425B81B8">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874" w:type="dxa"/>
                  <w:vMerge w:val="continue"/>
                  <w:tcBorders>
                    <w:tl2br w:val="nil"/>
                    <w:tr2bl w:val="nil"/>
                  </w:tcBorders>
                  <w:noWrap w:val="0"/>
                  <w:vAlign w:val="center"/>
                </w:tcPr>
                <w:p w14:paraId="069A85D0">
                  <w:pPr>
                    <w:keepNext w:val="0"/>
                    <w:keepLines w:val="0"/>
                    <w:pageBreakBefore w:val="0"/>
                    <w:widowControl/>
                    <w:kinsoku/>
                    <w:wordWrap/>
                    <w:overflowPunct/>
                    <w:topLinePunct w:val="0"/>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highlight w:val="none"/>
                      <w:lang w:bidi="ar"/>
                    </w:rPr>
                  </w:pPr>
                </w:p>
              </w:tc>
            </w:tr>
          </w:tbl>
          <w:p w14:paraId="57F51F0E">
            <w:pPr>
              <w:ind w:firstLine="422" w:firstLineChars="2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备注：</w:t>
            </w:r>
            <w:r>
              <w:rPr>
                <w:rFonts w:hint="default" w:ascii="Times New Roman" w:hAnsi="Times New Roman" w:cs="Times New Roman"/>
                <w:b/>
                <w:bCs/>
                <w:color w:val="auto"/>
                <w:highlight w:val="none"/>
              </w:rPr>
              <w:t>表中坐标以厂界</w:t>
            </w:r>
            <w:r>
              <w:rPr>
                <w:rFonts w:hint="default" w:ascii="Times New Roman" w:hAnsi="Times New Roman" w:cs="Times New Roman"/>
                <w:b/>
                <w:bCs/>
                <w:color w:val="auto"/>
                <w:highlight w:val="none"/>
                <w:lang w:val="en-US" w:eastAsia="zh-CN"/>
              </w:rPr>
              <w:t>西南角（E84°49′7.170″、N44°52′18.765″）</w:t>
            </w:r>
            <w:r>
              <w:rPr>
                <w:rFonts w:hint="default" w:ascii="Times New Roman" w:hAnsi="Times New Roman" w:cs="Times New Roman"/>
                <w:b/>
                <w:bCs/>
                <w:color w:val="auto"/>
                <w:highlight w:val="none"/>
              </w:rPr>
              <w:t>为坐标原点，正东向为X轴正方向，正北向为Y轴正方向。</w:t>
            </w:r>
          </w:p>
          <w:p w14:paraId="286B4611">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（2）预测模式</w:t>
            </w:r>
          </w:p>
          <w:p w14:paraId="0A353AE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依据《环境影响评价技术导则声环境》（HJ2.4-2021），本次评价采用该导则附录B中</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B.1工业噪声预测计算模型</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进行预测分析。按《环境影响评价技术导则声环境》（HJ2.4-2021），选择点声源预测模式来模拟预测本项目主要设备声源产生噪声随距离的衰减变化规律。</w:t>
            </w:r>
          </w:p>
          <w:p w14:paraId="5F4C39D6">
            <w:pPr>
              <w:tabs>
                <w:tab w:val="left" w:pos="195"/>
              </w:tabs>
              <w:spacing w:line="480" w:lineRule="exact"/>
              <w:ind w:firstLine="482"/>
              <w:rPr>
                <w:rFonts w:hint="default" w:ascii="Times New Roman" w:hAnsi="Times New Roman" w:eastAsia="宋体" w:cs="Times New Roman"/>
                <w:bCs/>
                <w:color w:val="auto"/>
                <w:kern w:val="2"/>
                <w:sz w:val="24"/>
                <w:szCs w:val="24"/>
                <w:highlight w:val="none"/>
                <w:lang w:val="en-US" w:eastAsia="zh-CN" w:bidi="ar-SA"/>
              </w:rPr>
            </w:pPr>
            <w:bookmarkStart w:id="65" w:name="_Hlk77537460"/>
            <w:r>
              <w:rPr>
                <w:rFonts w:hint="default" w:ascii="Times New Roman" w:hAnsi="Times New Roman" w:eastAsia="宋体" w:cs="Times New Roman"/>
                <w:bCs/>
                <w:color w:val="auto"/>
                <w:kern w:val="2"/>
                <w:sz w:val="24"/>
                <w:szCs w:val="24"/>
                <w:highlight w:val="none"/>
                <w:lang w:val="en-US" w:eastAsia="zh-CN" w:bidi="ar-SA"/>
              </w:rPr>
              <w:t>a.户外声传播衰减：</w:t>
            </w:r>
          </w:p>
          <w:p w14:paraId="01022934">
            <w:pPr>
              <w:tabs>
                <w:tab w:val="left" w:pos="195"/>
              </w:tabs>
              <w:spacing w:line="48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包括几何发散（A</w:t>
            </w:r>
            <w:r>
              <w:rPr>
                <w:rFonts w:hint="default" w:ascii="Times New Roman" w:hAnsi="Times New Roman" w:cs="Times New Roman"/>
                <w:color w:val="auto"/>
                <w:sz w:val="24"/>
                <w:highlight w:val="none"/>
                <w:vertAlign w:val="subscript"/>
                <w:lang w:val="en-US" w:eastAsia="zh-CN"/>
              </w:rPr>
              <w:t>div</w:t>
            </w:r>
            <w:r>
              <w:rPr>
                <w:rFonts w:hint="default" w:ascii="Times New Roman" w:hAnsi="Times New Roman" w:cs="Times New Roman"/>
                <w:color w:val="auto"/>
                <w:sz w:val="24"/>
                <w:highlight w:val="none"/>
                <w:lang w:val="en-US" w:eastAsia="zh-CN"/>
              </w:rPr>
              <w:t>）、大气吸收（A</w:t>
            </w:r>
            <w:r>
              <w:rPr>
                <w:rFonts w:hint="default" w:ascii="Times New Roman" w:hAnsi="Times New Roman" w:cs="Times New Roman"/>
                <w:color w:val="auto"/>
                <w:sz w:val="24"/>
                <w:highlight w:val="none"/>
                <w:vertAlign w:val="subscript"/>
                <w:lang w:val="en-US" w:eastAsia="zh-CN"/>
              </w:rPr>
              <w:t>atm</w:t>
            </w:r>
            <w:r>
              <w:rPr>
                <w:rFonts w:hint="default" w:ascii="Times New Roman" w:hAnsi="Times New Roman" w:cs="Times New Roman"/>
                <w:color w:val="auto"/>
                <w:sz w:val="24"/>
                <w:highlight w:val="none"/>
                <w:lang w:val="en-US" w:eastAsia="zh-CN"/>
              </w:rPr>
              <w:t>）、地面效应（A</w:t>
            </w:r>
            <w:r>
              <w:rPr>
                <w:rFonts w:hint="default" w:ascii="Times New Roman" w:hAnsi="Times New Roman" w:cs="Times New Roman"/>
                <w:color w:val="auto"/>
                <w:sz w:val="24"/>
                <w:highlight w:val="none"/>
                <w:vertAlign w:val="subscript"/>
                <w:lang w:val="en-US" w:eastAsia="zh-CN"/>
              </w:rPr>
              <w:t>gr</w:t>
            </w:r>
            <w:r>
              <w:rPr>
                <w:rFonts w:hint="default" w:ascii="Times New Roman" w:hAnsi="Times New Roman" w:cs="Times New Roman"/>
                <w:color w:val="auto"/>
                <w:sz w:val="24"/>
                <w:highlight w:val="none"/>
                <w:lang w:val="en-US" w:eastAsia="zh-CN"/>
              </w:rPr>
              <w:t>）、障碍物屏蔽（A</w:t>
            </w:r>
            <w:r>
              <w:rPr>
                <w:rFonts w:hint="default" w:ascii="Times New Roman" w:hAnsi="Times New Roman" w:cs="Times New Roman"/>
                <w:color w:val="auto"/>
                <w:sz w:val="24"/>
                <w:highlight w:val="none"/>
                <w:vertAlign w:val="subscript"/>
                <w:lang w:val="en-US" w:eastAsia="zh-CN"/>
              </w:rPr>
              <w:t>bar</w:t>
            </w:r>
            <w:r>
              <w:rPr>
                <w:rFonts w:hint="default" w:ascii="Times New Roman" w:hAnsi="Times New Roman" w:cs="Times New Roman"/>
                <w:color w:val="auto"/>
                <w:sz w:val="24"/>
                <w:highlight w:val="none"/>
                <w:lang w:val="en-US" w:eastAsia="zh-CN"/>
              </w:rPr>
              <w:t>）、其他多方面效应（A</w:t>
            </w:r>
            <w:r>
              <w:rPr>
                <w:rFonts w:hint="default" w:ascii="Times New Roman" w:hAnsi="Times New Roman" w:cs="Times New Roman"/>
                <w:color w:val="auto"/>
                <w:sz w:val="24"/>
                <w:highlight w:val="none"/>
                <w:vertAlign w:val="subscript"/>
                <w:lang w:val="en-US" w:eastAsia="zh-CN"/>
              </w:rPr>
              <w:t>misc</w:t>
            </w:r>
            <w:r>
              <w:rPr>
                <w:rFonts w:hint="default" w:ascii="Times New Roman" w:hAnsi="Times New Roman" w:cs="Times New Roman"/>
                <w:color w:val="auto"/>
                <w:sz w:val="24"/>
                <w:highlight w:val="none"/>
                <w:lang w:val="en-US" w:eastAsia="zh-CN"/>
              </w:rPr>
              <w:t>）引起的衰减。预测点的声级计算公式如下：</w:t>
            </w:r>
          </w:p>
          <w:p w14:paraId="51F8CE8E">
            <w:pPr>
              <w:tabs>
                <w:tab w:val="left" w:pos="195"/>
              </w:tabs>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3729355" cy="282575"/>
                  <wp:effectExtent l="0" t="0" r="4445" b="317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4"/>
                          <a:stretch>
                            <a:fillRect/>
                          </a:stretch>
                        </pic:blipFill>
                        <pic:spPr>
                          <a:xfrm>
                            <a:off x="0" y="0"/>
                            <a:ext cx="3729355" cy="282575"/>
                          </a:xfrm>
                          <a:prstGeom prst="rect">
                            <a:avLst/>
                          </a:prstGeom>
                          <a:noFill/>
                          <a:ln>
                            <a:noFill/>
                          </a:ln>
                        </pic:spPr>
                      </pic:pic>
                    </a:graphicData>
                  </a:graphic>
                </wp:inline>
              </w:drawing>
            </w:r>
          </w:p>
          <w:p w14:paraId="65880546">
            <w:pPr>
              <w:keepNext w:val="0"/>
              <w:keepLines w:val="0"/>
              <w:pageBreakBefore w:val="0"/>
              <w:widowControl/>
              <w:suppressLineNumbers w:val="0"/>
              <w:kinsoku/>
              <w:wordWrap/>
              <w:overflowPunct/>
              <w:autoSpaceDE/>
              <w:autoSpaceDN/>
              <w:bidi w:val="0"/>
              <w:adjustRightInd/>
              <w:snapToGrid/>
              <w:spacing w:line="440" w:lineRule="exact"/>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式中：</w:t>
            </w:r>
            <w:r>
              <w:rPr>
                <w:rFonts w:hint="default" w:ascii="Times New Roman" w:hAnsi="Times New Roman" w:eastAsia="宋体" w:cs="Times New Roman"/>
                <w:i/>
                <w:iCs/>
                <w:color w:val="auto"/>
                <w:kern w:val="0"/>
                <w:sz w:val="24"/>
                <w:szCs w:val="24"/>
                <w:highlight w:val="none"/>
                <w:lang w:val="en-US" w:eastAsia="zh-CN" w:bidi="ar"/>
              </w:rPr>
              <w:t>Lp</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lang w:val="en-US" w:eastAsia="zh-CN" w:bidi="ar"/>
              </w:rPr>
              <w:t>） ——预测点处声压级，dB；</w:t>
            </w:r>
          </w:p>
          <w:p w14:paraId="5D43B2CE">
            <w:pPr>
              <w:keepNext w:val="0"/>
              <w:keepLines w:val="0"/>
              <w:pageBreakBefore w:val="0"/>
              <w:widowControl/>
              <w:suppressLineNumbers w:val="0"/>
              <w:kinsoku/>
              <w:wordWrap/>
              <w:overflowPunct/>
              <w:autoSpaceDE/>
              <w:autoSpaceDN/>
              <w:bidi w:val="0"/>
              <w:adjustRightInd/>
              <w:snapToGrid/>
              <w:spacing w:line="440" w:lineRule="exact"/>
              <w:ind w:firstLine="720" w:firstLineChars="3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 xml:space="preserve">w </w:t>
            </w:r>
            <w:r>
              <w:rPr>
                <w:rFonts w:hint="default" w:ascii="Times New Roman" w:hAnsi="Times New Roman" w:eastAsia="宋体" w:cs="Times New Roman"/>
                <w:color w:val="auto"/>
                <w:kern w:val="0"/>
                <w:sz w:val="24"/>
                <w:szCs w:val="24"/>
                <w:highlight w:val="none"/>
                <w:lang w:val="en-US" w:eastAsia="zh-CN" w:bidi="ar"/>
              </w:rPr>
              <w:t xml:space="preserve">——由点声源产生的声功率级（A计权或倍频带），dB； </w:t>
            </w:r>
          </w:p>
          <w:p w14:paraId="6EA68CD7">
            <w:pPr>
              <w:keepNext w:val="0"/>
              <w:keepLines w:val="0"/>
              <w:pageBreakBefore w:val="0"/>
              <w:widowControl/>
              <w:suppressLineNumbers w:val="0"/>
              <w:kinsoku/>
              <w:wordWrap/>
              <w:overflowPunct/>
              <w:autoSpaceDE/>
              <w:autoSpaceDN/>
              <w:bidi w:val="0"/>
              <w:adjustRightInd/>
              <w:snapToGrid/>
              <w:spacing w:line="440" w:lineRule="exact"/>
              <w:ind w:left="718" w:leftChars="342" w:firstLine="0" w:firstLineChars="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D</w:t>
            </w:r>
            <w:r>
              <w:rPr>
                <w:rFonts w:hint="default" w:ascii="Times New Roman" w:hAnsi="Times New Roman" w:eastAsia="宋体" w:cs="Times New Roman"/>
                <w:color w:val="auto"/>
                <w:kern w:val="0"/>
                <w:sz w:val="24"/>
                <w:szCs w:val="24"/>
                <w:highlight w:val="none"/>
                <w:lang w:val="en-US" w:eastAsia="zh-CN" w:bidi="ar"/>
              </w:rPr>
              <w:t>C ——指向性校正，它描述点声源的等效连续声压级与产生声功率级</w:t>
            </w:r>
            <w:r>
              <w:rPr>
                <w:rFonts w:hint="default" w:ascii="Times New Roman" w:hAnsi="Times New Roman" w:eastAsia="宋体" w:cs="Times New Roman"/>
                <w:i/>
                <w:iCs/>
                <w:color w:val="auto"/>
                <w:kern w:val="0"/>
                <w:sz w:val="24"/>
                <w:szCs w:val="24"/>
                <w:highlight w:val="none"/>
                <w:lang w:val="en-US" w:eastAsia="zh-CN" w:bidi="ar"/>
              </w:rPr>
              <w:t>Lw</w:t>
            </w:r>
            <w:r>
              <w:rPr>
                <w:rFonts w:hint="default" w:ascii="Times New Roman" w:hAnsi="Times New Roman" w:eastAsia="宋体" w:cs="Times New Roman"/>
                <w:color w:val="auto"/>
                <w:kern w:val="0"/>
                <w:sz w:val="24"/>
                <w:szCs w:val="24"/>
                <w:highlight w:val="none"/>
                <w:lang w:val="en-US" w:eastAsia="zh-CN" w:bidi="ar"/>
              </w:rPr>
              <w:t xml:space="preserve">的全向点声源在规定方向的声级的偏差程度，dB； </w:t>
            </w:r>
          </w:p>
          <w:p w14:paraId="5925F870">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vertAlign w:val="subscript"/>
                <w:lang w:val="en-US" w:eastAsia="zh-CN" w:bidi="ar"/>
              </w:rPr>
              <w:t>div</w:t>
            </w:r>
            <w:r>
              <w:rPr>
                <w:rFonts w:hint="default" w:ascii="Times New Roman" w:hAnsi="Times New Roman" w:eastAsia="宋体" w:cs="Times New Roman"/>
                <w:color w:val="auto"/>
                <w:kern w:val="0"/>
                <w:sz w:val="24"/>
                <w:szCs w:val="24"/>
                <w:highlight w:val="none"/>
                <w:lang w:val="en-US" w:eastAsia="zh-CN" w:bidi="ar"/>
              </w:rPr>
              <w:t xml:space="preserve"> ——几何发散引起的衰减，dB； </w:t>
            </w:r>
          </w:p>
          <w:p w14:paraId="604E5256">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vertAlign w:val="subscript"/>
                <w:lang w:val="en-US" w:eastAsia="zh-CN" w:bidi="ar"/>
              </w:rPr>
              <w:t>atm</w:t>
            </w:r>
            <w:r>
              <w:rPr>
                <w:rFonts w:hint="default" w:ascii="Times New Roman" w:hAnsi="Times New Roman" w:eastAsia="宋体" w:cs="Times New Roman"/>
                <w:color w:val="auto"/>
                <w:kern w:val="0"/>
                <w:sz w:val="24"/>
                <w:szCs w:val="24"/>
                <w:highlight w:val="none"/>
                <w:lang w:val="en-US" w:eastAsia="zh-CN" w:bidi="ar"/>
              </w:rPr>
              <w:t xml:space="preserve"> ——大气吸收引起的衰减，dB； </w:t>
            </w:r>
          </w:p>
          <w:p w14:paraId="443CE831">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vertAlign w:val="subscript"/>
                <w:lang w:val="en-US" w:eastAsia="zh-CN" w:bidi="ar"/>
              </w:rPr>
              <w:t>gr</w:t>
            </w:r>
            <w:r>
              <w:rPr>
                <w:rFonts w:hint="default" w:ascii="Times New Roman" w:hAnsi="Times New Roman" w:eastAsia="宋体" w:cs="Times New Roman"/>
                <w:color w:val="auto"/>
                <w:kern w:val="0"/>
                <w:sz w:val="24"/>
                <w:szCs w:val="24"/>
                <w:highlight w:val="none"/>
                <w:lang w:val="en-US" w:eastAsia="zh-CN" w:bidi="ar"/>
              </w:rPr>
              <w:t xml:space="preserve"> ——地面效应引起的衰减，dB； </w:t>
            </w:r>
          </w:p>
          <w:p w14:paraId="49B98606">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vertAlign w:val="subscript"/>
                <w:lang w:val="en-US" w:eastAsia="zh-CN" w:bidi="ar"/>
              </w:rPr>
              <w:t>bar</w:t>
            </w:r>
            <w:r>
              <w:rPr>
                <w:rFonts w:hint="default" w:ascii="Times New Roman" w:hAnsi="Times New Roman" w:eastAsia="宋体" w:cs="Times New Roman"/>
                <w:color w:val="auto"/>
                <w:kern w:val="0"/>
                <w:sz w:val="24"/>
                <w:szCs w:val="24"/>
                <w:highlight w:val="none"/>
                <w:lang w:val="en-US" w:eastAsia="zh-CN" w:bidi="ar"/>
              </w:rPr>
              <w:t xml:space="preserve"> ——障碍物屏蔽引起的衰减，dB； </w:t>
            </w:r>
          </w:p>
          <w:p w14:paraId="29A714F4">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vertAlign w:val="subscript"/>
                <w:lang w:val="en-US" w:eastAsia="zh-CN" w:bidi="ar"/>
              </w:rPr>
              <w:t>misc</w:t>
            </w:r>
            <w:r>
              <w:rPr>
                <w:rFonts w:hint="default" w:ascii="Times New Roman" w:hAnsi="Times New Roman" w:eastAsia="宋体" w:cs="Times New Roman"/>
                <w:color w:val="auto"/>
                <w:kern w:val="0"/>
                <w:sz w:val="24"/>
                <w:szCs w:val="24"/>
                <w:highlight w:val="none"/>
                <w:lang w:val="en-US" w:eastAsia="zh-CN" w:bidi="ar"/>
              </w:rPr>
              <w:t xml:space="preserve"> ——其他多方面效应引起的衰减，dB。</w:t>
            </w:r>
          </w:p>
          <w:p w14:paraId="352C7DC5">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highlight w:val="none"/>
                <w:lang w:val="en-US" w:eastAsia="zh-CN"/>
              </w:rPr>
              <w:t>b</w:t>
            </w:r>
            <w:r>
              <w:rPr>
                <w:rFonts w:hint="default" w:ascii="Times New Roman" w:hAnsi="Times New Roman" w:cs="Times New Roman"/>
                <w:color w:val="auto"/>
                <w:sz w:val="24"/>
                <w:highlight w:val="none"/>
              </w:rPr>
              <w:t>.</w:t>
            </w:r>
            <w:r>
              <w:rPr>
                <w:rFonts w:hint="default" w:ascii="Times New Roman" w:hAnsi="Times New Roman" w:cs="Times New Roman"/>
                <w:color w:val="auto"/>
                <w:sz w:val="24"/>
                <w:szCs w:val="24"/>
                <w:highlight w:val="none"/>
              </w:rPr>
              <w:t>无指向性点声源几何发散衰减的基本公式是</w:t>
            </w:r>
            <w:r>
              <w:rPr>
                <w:rFonts w:hint="default" w:ascii="Times New Roman" w:hAnsi="Times New Roman" w:cs="Times New Roman"/>
                <w:color w:val="auto"/>
                <w:sz w:val="24"/>
                <w:szCs w:val="24"/>
                <w:highlight w:val="none"/>
                <w:lang w:eastAsia="zh-CN"/>
              </w:rPr>
              <w:t>：</w:t>
            </w:r>
          </w:p>
          <w:p w14:paraId="5B581C4A">
            <w:pPr>
              <w:keepNext w:val="0"/>
              <w:keepLines w:val="0"/>
              <w:pageBreakBefore w:val="0"/>
              <w:kinsoku/>
              <w:wordWrap/>
              <w:overflowPunct/>
              <w:topLinePunct/>
              <w:autoSpaceDE/>
              <w:autoSpaceDN/>
              <w:bidi w:val="0"/>
              <w:adjustRightInd/>
              <w:snapToGrid/>
              <w:spacing w:line="240" w:lineRule="auto"/>
              <w:jc w:val="center"/>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highlight w:val="none"/>
              </w:rPr>
              <w:drawing>
                <wp:inline distT="0" distB="0" distL="114300" distR="114300">
                  <wp:extent cx="2106295" cy="349250"/>
                  <wp:effectExtent l="0" t="0" r="8255"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5"/>
                          <a:stretch>
                            <a:fillRect/>
                          </a:stretch>
                        </pic:blipFill>
                        <pic:spPr>
                          <a:xfrm>
                            <a:off x="0" y="0"/>
                            <a:ext cx="2106295" cy="349250"/>
                          </a:xfrm>
                          <a:prstGeom prst="rect">
                            <a:avLst/>
                          </a:prstGeom>
                          <a:noFill/>
                          <a:ln>
                            <a:noFill/>
                          </a:ln>
                        </pic:spPr>
                      </pic:pic>
                    </a:graphicData>
                  </a:graphic>
                </wp:inline>
              </w:drawing>
            </w:r>
          </w:p>
          <w:p w14:paraId="56ECFBA8">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式中：Lp</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r</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 ——预测点处声压级，dB；</w:t>
            </w:r>
          </w:p>
          <w:p w14:paraId="581F30BE">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Lp</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r0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 ——参考位置r0处的声压级，dB；</w:t>
            </w:r>
          </w:p>
          <w:p w14:paraId="6901D91E">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 ——预测点距声源的距离；</w:t>
            </w:r>
          </w:p>
          <w:p w14:paraId="1BCEE660">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r0——参考位置距声源的距离。</w:t>
            </w:r>
          </w:p>
          <w:p w14:paraId="224E3731">
            <w:pPr>
              <w:keepNext w:val="0"/>
              <w:keepLines w:val="0"/>
              <w:pageBreakBefore w:val="0"/>
              <w:tabs>
                <w:tab w:val="left" w:pos="195"/>
              </w:tabs>
              <w:kinsoku/>
              <w:wordWrap/>
              <w:overflowPunct/>
              <w:autoSpaceDE/>
              <w:autoSpaceDN/>
              <w:bidi w:val="0"/>
              <w:adjustRightInd/>
              <w:snapToGrid/>
              <w:spacing w:line="44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c.如</w:t>
            </w:r>
            <w:r>
              <w:rPr>
                <w:rFonts w:hint="default" w:ascii="Times New Roman" w:hAnsi="Times New Roman" w:cs="Times New Roman"/>
                <w:color w:val="auto"/>
                <w:sz w:val="24"/>
                <w:highlight w:val="none"/>
              </w:rPr>
              <w:t>果声源处于半自由声场，则</w:t>
            </w:r>
            <w:r>
              <w:rPr>
                <w:rFonts w:hint="default" w:ascii="Times New Roman" w:hAnsi="Times New Roman" w:cs="Times New Roman"/>
                <w:color w:val="auto"/>
                <w:sz w:val="24"/>
                <w:highlight w:val="none"/>
                <w:lang w:val="en-US" w:eastAsia="zh-CN"/>
              </w:rPr>
              <w:t>上式</w:t>
            </w:r>
            <w:r>
              <w:rPr>
                <w:rFonts w:hint="default" w:ascii="Times New Roman" w:hAnsi="Times New Roman" w:cs="Times New Roman"/>
                <w:color w:val="auto"/>
                <w:sz w:val="24"/>
                <w:highlight w:val="none"/>
              </w:rPr>
              <w:t>等效为</w:t>
            </w:r>
            <w:r>
              <w:rPr>
                <w:rFonts w:hint="default" w:ascii="Times New Roman" w:hAnsi="Times New Roman" w:cs="Times New Roman"/>
                <w:color w:val="auto"/>
                <w:sz w:val="24"/>
                <w:highlight w:val="none"/>
                <w:lang w:val="en-US" w:eastAsia="zh-CN"/>
              </w:rPr>
              <w:t>下列公式：</w:t>
            </w:r>
          </w:p>
          <w:p w14:paraId="5C2338D2">
            <w:pPr>
              <w:keepNext w:val="0"/>
              <w:keepLines w:val="0"/>
              <w:pageBreakBefore w:val="0"/>
              <w:tabs>
                <w:tab w:val="left" w:pos="195"/>
              </w:tabs>
              <w:kinsoku/>
              <w:wordWrap/>
              <w:overflowPunct/>
              <w:autoSpaceDE/>
              <w:autoSpaceDN/>
              <w:bidi w:val="0"/>
              <w:adjustRightInd/>
              <w:snapToGrid/>
              <w:spacing w:line="440" w:lineRule="exact"/>
              <w:ind w:firstLine="2880" w:firstLineChars="1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L</w:t>
            </w:r>
            <w:r>
              <w:rPr>
                <w:rFonts w:hint="default" w:ascii="Times New Roman" w:hAnsi="Times New Roman" w:cs="Times New Roman"/>
                <w:color w:val="auto"/>
                <w:sz w:val="24"/>
                <w:highlight w:val="none"/>
                <w:vertAlign w:val="subscript"/>
                <w:lang w:val="en-US" w:eastAsia="zh-CN"/>
              </w:rPr>
              <w:t>A</w:t>
            </w:r>
            <w:r>
              <w:rPr>
                <w:rFonts w:hint="default" w:ascii="Times New Roman" w:hAnsi="Times New Roman" w:cs="Times New Roman"/>
                <w:color w:val="auto"/>
                <w:sz w:val="24"/>
                <w:highlight w:val="none"/>
                <w:vertAlign w:val="baseline"/>
                <w:lang w:val="en-US" w:eastAsia="zh-CN"/>
              </w:rPr>
              <w:t>（r）</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L</w:t>
            </w:r>
            <w:r>
              <w:rPr>
                <w:rFonts w:hint="default" w:ascii="Times New Roman" w:hAnsi="Times New Roman" w:cs="Times New Roman"/>
                <w:color w:val="auto"/>
                <w:sz w:val="24"/>
                <w:highlight w:val="none"/>
                <w:vertAlign w:val="subscript"/>
                <w:lang w:val="en-US" w:eastAsia="zh-CN"/>
              </w:rPr>
              <w:t>A</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cs="Times New Roman"/>
                <w:color w:val="auto"/>
                <w:sz w:val="24"/>
                <w:highlight w:val="none"/>
                <w:vertAlign w:val="baseline"/>
                <w:lang w:val="en-US"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0lg</w:t>
            </w:r>
            <w:r>
              <w:rPr>
                <w:rFonts w:hint="default" w:ascii="Times New Roman" w:hAnsi="Times New Roman" w:cs="Times New Roman"/>
                <w:color w:val="auto"/>
                <w:sz w:val="24"/>
                <w:highlight w:val="none"/>
                <w:lang w:val="en-US" w:eastAsia="zh-CN"/>
              </w:rPr>
              <w:t>r-8</w:t>
            </w:r>
          </w:p>
          <w:p w14:paraId="0CF45055">
            <w:pPr>
              <w:keepNext w:val="0"/>
              <w:keepLines w:val="0"/>
              <w:pageBreakBefore w:val="0"/>
              <w:widowControl/>
              <w:suppressLineNumbers w:val="0"/>
              <w:kinsoku/>
              <w:wordWrap/>
              <w:overflowPunct/>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式中</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A</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lang w:val="en-US" w:eastAsia="zh-CN" w:bidi="ar"/>
              </w:rPr>
              <w:t xml:space="preserve">） ——距声源 </w:t>
            </w:r>
            <w:r>
              <w:rPr>
                <w:rFonts w:hint="default" w:ascii="Times New Roman" w:hAnsi="Times New Roman" w:eastAsia="宋体" w:cs="Times New Roman"/>
                <w:i/>
                <w:iCs/>
                <w:color w:val="auto"/>
                <w:kern w:val="0"/>
                <w:sz w:val="24"/>
                <w:szCs w:val="24"/>
                <w:highlight w:val="none"/>
                <w:lang w:val="en-US" w:eastAsia="zh-CN" w:bidi="ar"/>
              </w:rPr>
              <w:t xml:space="preserve">r </w:t>
            </w:r>
            <w:r>
              <w:rPr>
                <w:rFonts w:hint="default" w:ascii="Times New Roman" w:hAnsi="Times New Roman" w:eastAsia="宋体" w:cs="Times New Roman"/>
                <w:color w:val="auto"/>
                <w:kern w:val="0"/>
                <w:sz w:val="24"/>
                <w:szCs w:val="24"/>
                <w:highlight w:val="none"/>
                <w:lang w:val="en-US" w:eastAsia="zh-CN" w:bidi="ar"/>
              </w:rPr>
              <w:t xml:space="preserve">处的 A 声级，dB（A）； </w:t>
            </w:r>
          </w:p>
          <w:p w14:paraId="5EC2A9E3">
            <w:pPr>
              <w:keepNext w:val="0"/>
              <w:keepLines w:val="0"/>
              <w:pageBreakBefore w:val="0"/>
              <w:widowControl/>
              <w:suppressLineNumbers w:val="0"/>
              <w:kinsoku/>
              <w:wordWrap/>
              <w:overflowPunct/>
              <w:autoSpaceDE/>
              <w:autoSpaceDN/>
              <w:bidi w:val="0"/>
              <w:adjustRightInd/>
              <w:snapToGrid/>
              <w:spacing w:line="440" w:lineRule="exact"/>
              <w:ind w:firstLine="1200" w:firstLineChars="5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A</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lang w:val="en-US" w:eastAsia="zh-CN" w:bidi="ar"/>
              </w:rPr>
              <w:t xml:space="preserve">——点声源 A 计权声功率级，dB； </w:t>
            </w:r>
          </w:p>
          <w:p w14:paraId="34C53119">
            <w:pPr>
              <w:keepNext w:val="0"/>
              <w:keepLines w:val="0"/>
              <w:pageBreakBefore w:val="0"/>
              <w:tabs>
                <w:tab w:val="left" w:pos="195"/>
              </w:tabs>
              <w:kinsoku/>
              <w:wordWrap/>
              <w:overflowPunct/>
              <w:autoSpaceDE/>
              <w:autoSpaceDN/>
              <w:bidi w:val="0"/>
              <w:adjustRightInd/>
              <w:snapToGrid/>
              <w:spacing w:line="44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i/>
                <w:iCs/>
                <w:color w:val="auto"/>
                <w:kern w:val="0"/>
                <w:sz w:val="24"/>
                <w:szCs w:val="24"/>
                <w:highlight w:val="none"/>
                <w:lang w:val="en-US" w:eastAsia="zh-CN" w:bidi="ar"/>
              </w:rPr>
              <w:t xml:space="preserve">r </w:t>
            </w:r>
            <w:r>
              <w:rPr>
                <w:rFonts w:hint="default" w:ascii="Times New Roman" w:hAnsi="Times New Roman" w:eastAsia="宋体" w:cs="Times New Roman"/>
                <w:color w:val="auto"/>
                <w:kern w:val="0"/>
                <w:sz w:val="24"/>
                <w:szCs w:val="24"/>
                <w:highlight w:val="none"/>
                <w:lang w:val="en-US" w:eastAsia="zh-CN" w:bidi="ar"/>
              </w:rPr>
              <w:t>——预测点距声源的距离。</w:t>
            </w:r>
          </w:p>
          <w:p w14:paraId="626B8B7E">
            <w:pPr>
              <w:keepNext w:val="0"/>
              <w:keepLines w:val="0"/>
              <w:pageBreakBefore w:val="0"/>
              <w:tabs>
                <w:tab w:val="left" w:pos="195"/>
              </w:tabs>
              <w:kinsoku/>
              <w:wordWrap/>
              <w:overflowPunct/>
              <w:autoSpaceDE/>
              <w:autoSpaceDN/>
              <w:bidi w:val="0"/>
              <w:adjustRightInd/>
              <w:snapToGrid/>
              <w:spacing w:line="440" w:lineRule="exact"/>
              <w:ind w:firstLine="482"/>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highlight w:val="none"/>
              </w:rPr>
              <w:drawing>
                <wp:anchor distT="0" distB="0" distL="114300" distR="114300" simplePos="0" relativeHeight="251660288" behindDoc="1" locked="0" layoutInCell="1" allowOverlap="1">
                  <wp:simplePos x="0" y="0"/>
                  <wp:positionH relativeFrom="column">
                    <wp:posOffset>1637030</wp:posOffset>
                  </wp:positionH>
                  <wp:positionV relativeFrom="paragraph">
                    <wp:posOffset>257810</wp:posOffset>
                  </wp:positionV>
                  <wp:extent cx="1718945" cy="459740"/>
                  <wp:effectExtent l="0" t="0" r="14605" b="16510"/>
                  <wp:wrapTight wrapText="bothSides">
                    <wp:wrapPolygon>
                      <wp:start x="0" y="0"/>
                      <wp:lineTo x="0" y="20586"/>
                      <wp:lineTo x="21305" y="20586"/>
                      <wp:lineTo x="2130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718945" cy="459740"/>
                          </a:xfrm>
                          <a:prstGeom prst="rect">
                            <a:avLst/>
                          </a:prstGeom>
                          <a:noFill/>
                          <a:ln>
                            <a:noFill/>
                          </a:ln>
                        </pic:spPr>
                      </pic:pic>
                    </a:graphicData>
                  </a:graphic>
                </wp:anchor>
              </w:drawing>
            </w:r>
            <w:r>
              <w:rPr>
                <w:rFonts w:hint="default" w:ascii="Times New Roman" w:hAnsi="Times New Roman" w:cs="Times New Roman"/>
                <w:color w:val="auto"/>
                <w:sz w:val="24"/>
                <w:highlight w:val="none"/>
                <w:lang w:val="en-US" w:eastAsia="zh-CN"/>
              </w:rPr>
              <w:t>d.贡献值的叠加</w:t>
            </w:r>
          </w:p>
          <w:p w14:paraId="0016738F">
            <w:pPr>
              <w:keepNext w:val="0"/>
              <w:keepLines w:val="0"/>
              <w:pageBreakBefore w:val="0"/>
              <w:tabs>
                <w:tab w:val="left" w:pos="195"/>
              </w:tabs>
              <w:kinsoku/>
              <w:wordWrap/>
              <w:overflowPunct/>
              <w:autoSpaceDE/>
              <w:autoSpaceDN/>
              <w:bidi w:val="0"/>
              <w:adjustRightInd/>
              <w:snapToGrid/>
              <w:spacing w:line="440" w:lineRule="exact"/>
              <w:ind w:firstLine="482"/>
              <w:textAlignment w:val="auto"/>
              <w:rPr>
                <w:rFonts w:hint="default" w:ascii="Times New Roman" w:hAnsi="Times New Roman" w:cs="Times New Roman"/>
                <w:color w:val="auto"/>
                <w:sz w:val="24"/>
                <w:highlight w:val="none"/>
                <w:lang w:val="en-US" w:eastAsia="zh-CN"/>
              </w:rPr>
            </w:pPr>
          </w:p>
          <w:p w14:paraId="1BADC2EC">
            <w:pPr>
              <w:keepNext w:val="0"/>
              <w:keepLines w:val="0"/>
              <w:pageBreakBefore w:val="0"/>
              <w:tabs>
                <w:tab w:val="left" w:pos="195"/>
              </w:tabs>
              <w:kinsoku/>
              <w:wordWrap/>
              <w:overflowPunct/>
              <w:autoSpaceDE/>
              <w:autoSpaceDN/>
              <w:bidi w:val="0"/>
              <w:adjustRightInd/>
              <w:snapToGrid/>
              <w:spacing w:line="440" w:lineRule="exact"/>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p>
          <w:p w14:paraId="74F65AA7">
            <w:pPr>
              <w:keepNext w:val="0"/>
              <w:keepLines w:val="0"/>
              <w:pageBreakBefore w:val="0"/>
              <w:tabs>
                <w:tab w:val="left" w:pos="195"/>
              </w:tabs>
              <w:kinsoku/>
              <w:wordWrap/>
              <w:overflowPunct/>
              <w:autoSpaceDE/>
              <w:autoSpaceDN/>
              <w:bidi w:val="0"/>
              <w:adjustRightInd/>
              <w:snapToGrid/>
              <w:spacing w:line="440" w:lineRule="exact"/>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式中：L</w:t>
            </w:r>
            <w:r>
              <w:rPr>
                <w:rFonts w:hint="default" w:ascii="Times New Roman" w:hAnsi="Times New Roman" w:eastAsia="宋体" w:cs="Times New Roman"/>
                <w:bCs/>
                <w:color w:val="auto"/>
                <w:kern w:val="2"/>
                <w:sz w:val="24"/>
                <w:szCs w:val="24"/>
                <w:highlight w:val="none"/>
                <w:vertAlign w:val="subscript"/>
                <w:lang w:val="en-US" w:eastAsia="zh-CN" w:bidi="ar-SA"/>
              </w:rPr>
              <w:t>eqg</w:t>
            </w:r>
            <w:r>
              <w:rPr>
                <w:rFonts w:hint="default" w:ascii="Times New Roman" w:hAnsi="Times New Roman" w:eastAsia="宋体" w:cs="Times New Roman"/>
                <w:bCs/>
                <w:color w:val="auto"/>
                <w:kern w:val="2"/>
                <w:sz w:val="24"/>
                <w:szCs w:val="24"/>
                <w:highlight w:val="none"/>
                <w:lang w:val="en-US" w:eastAsia="zh-CN" w:bidi="ar-SA"/>
              </w:rPr>
              <w:t xml:space="preserve">噪声贡献值，dB； </w:t>
            </w:r>
          </w:p>
          <w:p w14:paraId="4F7E0922">
            <w:pPr>
              <w:keepNext w:val="0"/>
              <w:keepLines w:val="0"/>
              <w:pageBreakBefore w:val="0"/>
              <w:tabs>
                <w:tab w:val="left" w:pos="195"/>
              </w:tabs>
              <w:kinsoku/>
              <w:wordWrap/>
              <w:overflowPunct/>
              <w:autoSpaceDE/>
              <w:autoSpaceDN/>
              <w:bidi w:val="0"/>
              <w:adjustRightInd/>
              <w:snapToGrid/>
              <w:spacing w:line="440" w:lineRule="exact"/>
              <w:ind w:firstLine="1200" w:firstLineChars="5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 xml:space="preserve">T预测计算的时间段，s； </w:t>
            </w:r>
          </w:p>
          <w:p w14:paraId="1B9BA06E">
            <w:pPr>
              <w:keepNext w:val="0"/>
              <w:keepLines w:val="0"/>
              <w:pageBreakBefore w:val="0"/>
              <w:tabs>
                <w:tab w:val="left" w:pos="195"/>
              </w:tabs>
              <w:kinsoku/>
              <w:wordWrap/>
              <w:overflowPunct/>
              <w:autoSpaceDE/>
              <w:autoSpaceDN/>
              <w:bidi w:val="0"/>
              <w:adjustRightInd/>
              <w:snapToGrid/>
              <w:spacing w:line="440" w:lineRule="exact"/>
              <w:ind w:firstLine="1200" w:firstLineChars="5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 xml:space="preserve">t </w:t>
            </w:r>
            <w:r>
              <w:rPr>
                <w:rFonts w:hint="default" w:ascii="Times New Roman" w:hAnsi="Times New Roman" w:eastAsia="宋体" w:cs="Times New Roman"/>
                <w:bCs/>
                <w:color w:val="auto"/>
                <w:kern w:val="2"/>
                <w:sz w:val="24"/>
                <w:szCs w:val="24"/>
                <w:highlight w:val="none"/>
                <w:vertAlign w:val="subscript"/>
                <w:lang w:val="en-US" w:eastAsia="zh-CN" w:bidi="ar-SA"/>
              </w:rPr>
              <w:t>i</w:t>
            </w:r>
            <w:r>
              <w:rPr>
                <w:rFonts w:hint="default" w:ascii="Times New Roman" w:hAnsi="Times New Roman" w:eastAsia="宋体" w:cs="Times New Roman"/>
                <w:bCs/>
                <w:color w:val="auto"/>
                <w:kern w:val="2"/>
                <w:sz w:val="24"/>
                <w:szCs w:val="24"/>
                <w:highlight w:val="none"/>
                <w:lang w:val="en-US" w:eastAsia="zh-CN" w:bidi="ar-SA"/>
              </w:rPr>
              <w:t xml:space="preserve">为i声源在T时段内的运行时间，s； </w:t>
            </w:r>
          </w:p>
          <w:p w14:paraId="780BBDD6">
            <w:pPr>
              <w:keepNext w:val="0"/>
              <w:keepLines w:val="0"/>
              <w:pageBreakBefore w:val="0"/>
              <w:kinsoku/>
              <w:wordWrap/>
              <w:overflowPunct/>
              <w:topLinePunct/>
              <w:autoSpaceDE/>
              <w:autoSpaceDN/>
              <w:bidi w:val="0"/>
              <w:adjustRightInd/>
              <w:snapToGrid/>
              <w:spacing w:line="440" w:lineRule="exact"/>
              <w:ind w:firstLine="1262" w:firstLineChars="526"/>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L</w:t>
            </w:r>
            <w:r>
              <w:rPr>
                <w:rFonts w:hint="default" w:ascii="Times New Roman" w:hAnsi="Times New Roman" w:eastAsia="宋体" w:cs="Times New Roman"/>
                <w:bCs/>
                <w:color w:val="auto"/>
                <w:kern w:val="2"/>
                <w:sz w:val="24"/>
                <w:szCs w:val="24"/>
                <w:highlight w:val="none"/>
                <w:vertAlign w:val="subscript"/>
                <w:lang w:val="en-US" w:eastAsia="zh-CN" w:bidi="ar-SA"/>
              </w:rPr>
              <w:t>Ai</w:t>
            </w:r>
            <w:r>
              <w:rPr>
                <w:rFonts w:hint="default" w:ascii="Times New Roman" w:hAnsi="Times New Roman" w:eastAsia="宋体" w:cs="Times New Roman"/>
                <w:bCs/>
                <w:color w:val="auto"/>
                <w:kern w:val="2"/>
                <w:sz w:val="24"/>
                <w:szCs w:val="24"/>
                <w:highlight w:val="none"/>
                <w:lang w:val="en-US" w:eastAsia="zh-CN" w:bidi="ar-SA"/>
              </w:rPr>
              <w:t xml:space="preserve"> 为i声源在预测点产生的等效连续A声级，dB</w:t>
            </w:r>
            <w:r>
              <w:rPr>
                <w:rFonts w:hint="default" w:ascii="Times New Roman" w:hAnsi="Times New Roman" w:cs="Times New Roman"/>
                <w:color w:val="auto"/>
                <w:sz w:val="24"/>
                <w:szCs w:val="24"/>
                <w:highlight w:val="none"/>
              </w:rPr>
              <w:t>。</w:t>
            </w:r>
          </w:p>
          <w:p w14:paraId="527BA618">
            <w:pPr>
              <w:keepNext w:val="0"/>
              <w:keepLines w:val="0"/>
              <w:pageBreakBefore w:val="0"/>
              <w:kinsoku/>
              <w:wordWrap/>
              <w:overflowPunct/>
              <w:topLinePunct/>
              <w:autoSpaceDE/>
              <w:autoSpaceDN/>
              <w:bidi w:val="0"/>
              <w:adjustRightInd/>
              <w:snapToGrid/>
              <w:spacing w:line="440" w:lineRule="exact"/>
              <w:ind w:firstLine="480"/>
              <w:textAlignment w:val="auto"/>
              <w:rPr>
                <w:rFonts w:hint="default" w:ascii="Times New Roman" w:hAnsi="Times New Roman" w:cs="Times New Roman"/>
                <w:bCs/>
                <w:color w:val="auto"/>
                <w:kern w:val="0"/>
                <w:sz w:val="24"/>
                <w:szCs w:val="24"/>
                <w:highlight w:val="none"/>
              </w:rPr>
            </w:pPr>
            <w:r>
              <w:rPr>
                <w:rFonts w:hint="default" w:ascii="Times New Roman" w:hAnsi="Times New Roman" w:cs="Times New Roman"/>
                <w:color w:val="auto"/>
                <w:sz w:val="24"/>
                <w:szCs w:val="24"/>
                <w:highlight w:val="none"/>
              </w:rPr>
              <w:t>根据以上模式对主要声源噪声衰减进行预测。</w:t>
            </w:r>
            <w:r>
              <w:rPr>
                <w:rFonts w:hint="default" w:ascii="Times New Roman" w:hAnsi="Times New Roman" w:cs="Times New Roman"/>
                <w:snapToGrid w:val="0"/>
                <w:color w:val="auto"/>
                <w:kern w:val="0"/>
                <w:sz w:val="24"/>
                <w:szCs w:val="24"/>
                <w:highlight w:val="none"/>
              </w:rPr>
              <w:t>产噪设备通过距离衰减、固定设备设置减振基础、墙体隔声等降噪</w:t>
            </w:r>
            <w:r>
              <w:rPr>
                <w:rFonts w:hint="default" w:ascii="Times New Roman" w:hAnsi="Times New Roman" w:cs="Times New Roman"/>
                <w:color w:val="auto"/>
                <w:sz w:val="24"/>
                <w:szCs w:val="24"/>
                <w:highlight w:val="none"/>
              </w:rPr>
              <w:t>，项目噪声</w:t>
            </w:r>
            <w:r>
              <w:rPr>
                <w:rFonts w:hint="default" w:ascii="Times New Roman" w:hAnsi="Times New Roman" w:cs="Times New Roman"/>
                <w:bCs/>
                <w:color w:val="auto"/>
                <w:kern w:val="0"/>
                <w:sz w:val="24"/>
                <w:szCs w:val="24"/>
                <w:highlight w:val="none"/>
              </w:rPr>
              <w:t>预测结果详见表4-</w:t>
            </w:r>
            <w:r>
              <w:rPr>
                <w:rFonts w:hint="eastAsia" w:ascii="Times New Roman" w:hAnsi="Times New Roman" w:cs="Times New Roman"/>
                <w:bCs/>
                <w:color w:val="auto"/>
                <w:kern w:val="0"/>
                <w:sz w:val="24"/>
                <w:szCs w:val="24"/>
                <w:highlight w:val="none"/>
                <w:lang w:val="en-US" w:eastAsia="zh-CN"/>
              </w:rPr>
              <w:t>10</w:t>
            </w:r>
            <w:r>
              <w:rPr>
                <w:rFonts w:hint="default" w:ascii="Times New Roman" w:hAnsi="Times New Roman" w:cs="Times New Roman"/>
                <w:bCs/>
                <w:color w:val="auto"/>
                <w:kern w:val="0"/>
                <w:sz w:val="24"/>
                <w:szCs w:val="24"/>
                <w:highlight w:val="none"/>
              </w:rPr>
              <w:t>。</w:t>
            </w:r>
          </w:p>
          <w:p w14:paraId="134958E7">
            <w:pPr>
              <w:keepNext w:val="0"/>
              <w:keepLines w:val="0"/>
              <w:pageBreakBefore w:val="0"/>
              <w:widowControl/>
              <w:kinsoku/>
              <w:wordWrap/>
              <w:overflowPunct/>
              <w:autoSpaceDE/>
              <w:autoSpaceDN/>
              <w:bidi w:val="0"/>
              <w:snapToGrid/>
              <w:spacing w:line="240" w:lineRule="auto"/>
              <w:ind w:firstLine="0" w:firstLineChars="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eastAsia" w:ascii="Times New Roman" w:hAnsi="Times New Roman" w:cs="Times New Roman"/>
                <w:b/>
                <w:color w:val="auto"/>
                <w:sz w:val="21"/>
                <w:szCs w:val="21"/>
                <w:highlight w:val="none"/>
                <w:lang w:val="en-US" w:eastAsia="zh-CN"/>
              </w:rPr>
              <w:t>10</w:t>
            </w:r>
            <w:r>
              <w:rPr>
                <w:rFonts w:hint="default" w:ascii="Times New Roman" w:hAnsi="Times New Roman" w:cs="Times New Roman"/>
                <w:b/>
                <w:color w:val="auto"/>
                <w:sz w:val="21"/>
                <w:szCs w:val="21"/>
                <w:highlight w:val="none"/>
              </w:rPr>
              <w:t xml:space="preserve">      厂界噪声预测结果与达标分析表</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81"/>
              <w:gridCol w:w="1432"/>
              <w:gridCol w:w="1328"/>
              <w:gridCol w:w="1342"/>
              <w:gridCol w:w="1493"/>
              <w:gridCol w:w="747"/>
              <w:gridCol w:w="748"/>
            </w:tblGrid>
            <w:tr w14:paraId="490FE5F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tblHeader/>
                <w:jc w:val="center"/>
              </w:trPr>
              <w:tc>
                <w:tcPr>
                  <w:tcW w:w="661" w:type="pct"/>
                  <w:vMerge w:val="restart"/>
                  <w:tcBorders>
                    <w:tl2br w:val="nil"/>
                    <w:tr2bl w:val="nil"/>
                  </w:tcBorders>
                  <w:noWrap w:val="0"/>
                  <w:vAlign w:val="center"/>
                </w:tcPr>
                <w:p w14:paraId="56F6DA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噪声源</w:t>
                  </w:r>
                </w:p>
              </w:tc>
              <w:tc>
                <w:tcPr>
                  <w:tcW w:w="876" w:type="pct"/>
                  <w:vMerge w:val="restart"/>
                  <w:tcBorders>
                    <w:tl2br w:val="nil"/>
                    <w:tr2bl w:val="nil"/>
                  </w:tcBorders>
                  <w:noWrap w:val="0"/>
                  <w:vAlign w:val="center"/>
                </w:tcPr>
                <w:p w14:paraId="1E100D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降噪后叠加声级dB（A）</w:t>
                  </w:r>
                </w:p>
              </w:tc>
              <w:tc>
                <w:tcPr>
                  <w:tcW w:w="1634" w:type="pct"/>
                  <w:gridSpan w:val="2"/>
                  <w:tcBorders>
                    <w:tl2br w:val="nil"/>
                    <w:tr2bl w:val="nil"/>
                  </w:tcBorders>
                  <w:noWrap w:val="0"/>
                  <w:vAlign w:val="center"/>
                </w:tcPr>
                <w:p w14:paraId="793177C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声源至</w:t>
                  </w:r>
                  <w:r>
                    <w:rPr>
                      <w:rFonts w:hint="default" w:ascii="Times New Roman" w:hAnsi="Times New Roman" w:cs="Times New Roman"/>
                      <w:color w:val="auto"/>
                      <w:kern w:val="0"/>
                      <w:sz w:val="21"/>
                      <w:szCs w:val="21"/>
                      <w:highlight w:val="none"/>
                      <w:lang w:val="en-US" w:eastAsia="zh-CN" w:bidi="ar"/>
                    </w:rPr>
                    <w:t>厂</w:t>
                  </w:r>
                  <w:r>
                    <w:rPr>
                      <w:rFonts w:hint="default" w:ascii="Times New Roman" w:hAnsi="Times New Roman" w:cs="Times New Roman"/>
                      <w:color w:val="auto"/>
                      <w:kern w:val="0"/>
                      <w:sz w:val="21"/>
                      <w:szCs w:val="21"/>
                      <w:highlight w:val="none"/>
                      <w:lang w:bidi="ar"/>
                    </w:rPr>
                    <w:t>区边界距离</w:t>
                  </w:r>
                </w:p>
              </w:tc>
              <w:tc>
                <w:tcPr>
                  <w:tcW w:w="912" w:type="pct"/>
                  <w:vMerge w:val="restart"/>
                  <w:tcBorders>
                    <w:tl2br w:val="nil"/>
                    <w:tr2bl w:val="nil"/>
                  </w:tcBorders>
                  <w:noWrap w:val="0"/>
                  <w:vAlign w:val="center"/>
                </w:tcPr>
                <w:p w14:paraId="795D4F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预测值dB（A）</w:t>
                  </w:r>
                </w:p>
              </w:tc>
              <w:tc>
                <w:tcPr>
                  <w:tcW w:w="914" w:type="pct"/>
                  <w:gridSpan w:val="2"/>
                  <w:tcBorders>
                    <w:tl2br w:val="nil"/>
                    <w:tr2bl w:val="nil"/>
                  </w:tcBorders>
                  <w:noWrap w:val="0"/>
                  <w:vAlign w:val="center"/>
                </w:tcPr>
                <w:p w14:paraId="4F0C36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标准值</w:t>
                  </w:r>
                </w:p>
              </w:tc>
            </w:tr>
            <w:tr w14:paraId="5F4BE44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tblHeader/>
                <w:jc w:val="center"/>
              </w:trPr>
              <w:tc>
                <w:tcPr>
                  <w:tcW w:w="661" w:type="pct"/>
                  <w:vMerge w:val="continue"/>
                  <w:tcBorders>
                    <w:tl2br w:val="nil"/>
                    <w:tr2bl w:val="nil"/>
                  </w:tcBorders>
                  <w:noWrap w:val="0"/>
                  <w:vAlign w:val="center"/>
                </w:tcPr>
                <w:p w14:paraId="2B9B34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76" w:type="pct"/>
                  <w:vMerge w:val="continue"/>
                  <w:tcBorders>
                    <w:tl2br w:val="nil"/>
                    <w:tr2bl w:val="nil"/>
                  </w:tcBorders>
                  <w:noWrap w:val="0"/>
                  <w:vAlign w:val="center"/>
                </w:tcPr>
                <w:p w14:paraId="15B153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12" w:type="pct"/>
                  <w:tcBorders>
                    <w:tl2br w:val="nil"/>
                    <w:tr2bl w:val="nil"/>
                  </w:tcBorders>
                  <w:noWrap w:val="0"/>
                  <w:vAlign w:val="center"/>
                </w:tcPr>
                <w:p w14:paraId="68F9DF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方位</w:t>
                  </w:r>
                </w:p>
              </w:tc>
              <w:tc>
                <w:tcPr>
                  <w:tcW w:w="821" w:type="pct"/>
                  <w:tcBorders>
                    <w:tl2br w:val="nil"/>
                    <w:tr2bl w:val="nil"/>
                  </w:tcBorders>
                  <w:noWrap w:val="0"/>
                  <w:vAlign w:val="center"/>
                </w:tcPr>
                <w:p w14:paraId="65662D8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距离m</w:t>
                  </w:r>
                </w:p>
              </w:tc>
              <w:tc>
                <w:tcPr>
                  <w:tcW w:w="912" w:type="pct"/>
                  <w:vMerge w:val="continue"/>
                  <w:tcBorders>
                    <w:tl2br w:val="nil"/>
                    <w:tr2bl w:val="nil"/>
                  </w:tcBorders>
                  <w:noWrap w:val="0"/>
                  <w:vAlign w:val="center"/>
                </w:tcPr>
                <w:p w14:paraId="02660C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457" w:type="pct"/>
                  <w:tcBorders>
                    <w:tl2br w:val="nil"/>
                    <w:tr2bl w:val="nil"/>
                  </w:tcBorders>
                  <w:noWrap w:val="0"/>
                  <w:vAlign w:val="center"/>
                </w:tcPr>
                <w:p w14:paraId="255FC2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昼间</w:t>
                  </w:r>
                </w:p>
              </w:tc>
              <w:tc>
                <w:tcPr>
                  <w:tcW w:w="457" w:type="pct"/>
                  <w:tcBorders>
                    <w:tl2br w:val="nil"/>
                    <w:tr2bl w:val="nil"/>
                  </w:tcBorders>
                  <w:noWrap w:val="0"/>
                  <w:vAlign w:val="center"/>
                </w:tcPr>
                <w:p w14:paraId="0AF661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夜间</w:t>
                  </w:r>
                </w:p>
              </w:tc>
            </w:tr>
            <w:tr w14:paraId="152F54E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61" w:type="pct"/>
                  <w:vMerge w:val="restart"/>
                  <w:tcBorders>
                    <w:tl2br w:val="nil"/>
                    <w:tr2bl w:val="nil"/>
                  </w:tcBorders>
                  <w:noWrap w:val="0"/>
                  <w:vAlign w:val="center"/>
                </w:tcPr>
                <w:p w14:paraId="780B40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提升机</w:t>
                  </w:r>
                  <w:r>
                    <w:rPr>
                      <w:rFonts w:hint="default" w:ascii="Times New Roman" w:hAnsi="Times New Roman"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清理筛</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bidi="ar"/>
                    </w:rPr>
                    <w:t>热风炉</w:t>
                  </w:r>
                  <w:r>
                    <w:rPr>
                      <w:rFonts w:hint="default" w:ascii="Times New Roman" w:hAnsi="Times New Roman" w:eastAsia="宋体" w:cs="Times New Roman"/>
                      <w:color w:val="auto"/>
                      <w:kern w:val="0"/>
                      <w:sz w:val="21"/>
                      <w:szCs w:val="21"/>
                      <w:highlight w:val="none"/>
                      <w:lang w:val="en-US" w:eastAsia="zh-CN" w:bidi="ar"/>
                    </w:rPr>
                    <w:t>等</w:t>
                  </w:r>
                </w:p>
              </w:tc>
              <w:tc>
                <w:tcPr>
                  <w:tcW w:w="876" w:type="pct"/>
                  <w:vMerge w:val="restart"/>
                  <w:tcBorders>
                    <w:tl2br w:val="nil"/>
                    <w:tr2bl w:val="nil"/>
                  </w:tcBorders>
                  <w:noWrap w:val="0"/>
                  <w:vAlign w:val="center"/>
                </w:tcPr>
                <w:p w14:paraId="2E64BE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76.34</w:t>
                  </w:r>
                  <w:r>
                    <w:rPr>
                      <w:rFonts w:hint="default" w:ascii="Times New Roman" w:hAnsi="Times New Roman" w:cs="Times New Roman"/>
                      <w:color w:val="auto"/>
                      <w:kern w:val="0"/>
                      <w:sz w:val="21"/>
                      <w:szCs w:val="21"/>
                      <w:highlight w:val="none"/>
                      <w:lang w:bidi="ar"/>
                    </w:rPr>
                    <w:t>dB（A）</w:t>
                  </w:r>
                </w:p>
              </w:tc>
              <w:tc>
                <w:tcPr>
                  <w:tcW w:w="812" w:type="pct"/>
                  <w:tcBorders>
                    <w:tl2br w:val="nil"/>
                    <w:tr2bl w:val="nil"/>
                  </w:tcBorders>
                  <w:noWrap w:val="0"/>
                  <w:vAlign w:val="center"/>
                </w:tcPr>
                <w:p w14:paraId="149A12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东侧</w:t>
                  </w:r>
                </w:p>
              </w:tc>
              <w:tc>
                <w:tcPr>
                  <w:tcW w:w="821" w:type="pct"/>
                  <w:tcBorders>
                    <w:tl2br w:val="nil"/>
                    <w:tr2bl w:val="nil"/>
                  </w:tcBorders>
                  <w:noWrap w:val="0"/>
                  <w:vAlign w:val="center"/>
                </w:tcPr>
                <w:p w14:paraId="2391A1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72</w:t>
                  </w:r>
                </w:p>
              </w:tc>
              <w:tc>
                <w:tcPr>
                  <w:tcW w:w="912" w:type="pct"/>
                  <w:tcBorders>
                    <w:tl2br w:val="nil"/>
                    <w:tr2bl w:val="nil"/>
                  </w:tcBorders>
                  <w:noWrap w:val="0"/>
                  <w:vAlign w:val="center"/>
                </w:tcPr>
                <w:p w14:paraId="24DEAA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39.2</w:t>
                  </w:r>
                </w:p>
              </w:tc>
              <w:tc>
                <w:tcPr>
                  <w:tcW w:w="457" w:type="pct"/>
                  <w:tcBorders>
                    <w:tl2br w:val="nil"/>
                    <w:tr2bl w:val="nil"/>
                  </w:tcBorders>
                  <w:noWrap w:val="0"/>
                  <w:vAlign w:val="center"/>
                </w:tcPr>
                <w:p w14:paraId="122193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60</w:t>
                  </w:r>
                </w:p>
              </w:tc>
              <w:tc>
                <w:tcPr>
                  <w:tcW w:w="457" w:type="pct"/>
                  <w:tcBorders>
                    <w:tl2br w:val="nil"/>
                    <w:tr2bl w:val="nil"/>
                  </w:tcBorders>
                  <w:noWrap w:val="0"/>
                  <w:vAlign w:val="center"/>
                </w:tcPr>
                <w:p w14:paraId="0CC0A4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50</w:t>
                  </w:r>
                </w:p>
              </w:tc>
            </w:tr>
            <w:tr w14:paraId="67FAE55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61" w:type="pct"/>
                  <w:vMerge w:val="continue"/>
                  <w:tcBorders>
                    <w:tl2br w:val="nil"/>
                    <w:tr2bl w:val="nil"/>
                  </w:tcBorders>
                  <w:noWrap w:val="0"/>
                  <w:vAlign w:val="center"/>
                </w:tcPr>
                <w:p w14:paraId="3361BC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76" w:type="pct"/>
                  <w:vMerge w:val="continue"/>
                  <w:tcBorders>
                    <w:tl2br w:val="nil"/>
                    <w:tr2bl w:val="nil"/>
                  </w:tcBorders>
                  <w:noWrap w:val="0"/>
                  <w:vAlign w:val="center"/>
                </w:tcPr>
                <w:p w14:paraId="6EC750B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12" w:type="pct"/>
                  <w:tcBorders>
                    <w:tl2br w:val="nil"/>
                    <w:tr2bl w:val="nil"/>
                  </w:tcBorders>
                  <w:noWrap w:val="0"/>
                  <w:vAlign w:val="center"/>
                </w:tcPr>
                <w:p w14:paraId="39D2AE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南侧</w:t>
                  </w:r>
                </w:p>
              </w:tc>
              <w:tc>
                <w:tcPr>
                  <w:tcW w:w="821" w:type="pct"/>
                  <w:tcBorders>
                    <w:tl2br w:val="nil"/>
                    <w:tr2bl w:val="nil"/>
                  </w:tcBorders>
                  <w:noWrap w:val="0"/>
                  <w:vAlign w:val="center"/>
                </w:tcPr>
                <w:p w14:paraId="21D5F7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30</w:t>
                  </w:r>
                </w:p>
              </w:tc>
              <w:tc>
                <w:tcPr>
                  <w:tcW w:w="912" w:type="pct"/>
                  <w:tcBorders>
                    <w:tl2br w:val="nil"/>
                    <w:tr2bl w:val="nil"/>
                  </w:tcBorders>
                  <w:noWrap w:val="0"/>
                  <w:vAlign w:val="center"/>
                </w:tcPr>
                <w:p w14:paraId="2EF4297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46.8</w:t>
                  </w:r>
                </w:p>
              </w:tc>
              <w:tc>
                <w:tcPr>
                  <w:tcW w:w="457" w:type="pct"/>
                  <w:tcBorders>
                    <w:tl2br w:val="nil"/>
                    <w:tr2bl w:val="nil"/>
                  </w:tcBorders>
                  <w:noWrap w:val="0"/>
                  <w:vAlign w:val="center"/>
                </w:tcPr>
                <w:p w14:paraId="2DC008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60</w:t>
                  </w:r>
                </w:p>
              </w:tc>
              <w:tc>
                <w:tcPr>
                  <w:tcW w:w="457" w:type="pct"/>
                  <w:tcBorders>
                    <w:tl2br w:val="nil"/>
                    <w:tr2bl w:val="nil"/>
                  </w:tcBorders>
                  <w:noWrap w:val="0"/>
                  <w:vAlign w:val="center"/>
                </w:tcPr>
                <w:p w14:paraId="72D32D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50</w:t>
                  </w:r>
                </w:p>
              </w:tc>
            </w:tr>
            <w:tr w14:paraId="0880E01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61" w:type="pct"/>
                  <w:vMerge w:val="continue"/>
                  <w:tcBorders>
                    <w:tl2br w:val="nil"/>
                    <w:tr2bl w:val="nil"/>
                  </w:tcBorders>
                  <w:noWrap w:val="0"/>
                  <w:vAlign w:val="center"/>
                </w:tcPr>
                <w:p w14:paraId="785AE4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76" w:type="pct"/>
                  <w:vMerge w:val="continue"/>
                  <w:tcBorders>
                    <w:tl2br w:val="nil"/>
                    <w:tr2bl w:val="nil"/>
                  </w:tcBorders>
                  <w:noWrap w:val="0"/>
                  <w:vAlign w:val="center"/>
                </w:tcPr>
                <w:p w14:paraId="4294F5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12" w:type="pct"/>
                  <w:tcBorders>
                    <w:tl2br w:val="nil"/>
                    <w:tr2bl w:val="nil"/>
                  </w:tcBorders>
                  <w:noWrap w:val="0"/>
                  <w:vAlign w:val="center"/>
                </w:tcPr>
                <w:p w14:paraId="60EE44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西侧</w:t>
                  </w:r>
                </w:p>
              </w:tc>
              <w:tc>
                <w:tcPr>
                  <w:tcW w:w="821" w:type="pct"/>
                  <w:tcBorders>
                    <w:tl2br w:val="nil"/>
                    <w:tr2bl w:val="nil"/>
                  </w:tcBorders>
                  <w:noWrap w:val="0"/>
                  <w:vAlign w:val="center"/>
                </w:tcPr>
                <w:p w14:paraId="7D89D5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60</w:t>
                  </w:r>
                </w:p>
              </w:tc>
              <w:tc>
                <w:tcPr>
                  <w:tcW w:w="912" w:type="pct"/>
                  <w:tcBorders>
                    <w:tl2br w:val="nil"/>
                    <w:tr2bl w:val="nil"/>
                  </w:tcBorders>
                  <w:noWrap w:val="0"/>
                  <w:vAlign w:val="center"/>
                </w:tcPr>
                <w:p w14:paraId="378972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40.8</w:t>
                  </w:r>
                </w:p>
              </w:tc>
              <w:tc>
                <w:tcPr>
                  <w:tcW w:w="457" w:type="pct"/>
                  <w:tcBorders>
                    <w:tl2br w:val="nil"/>
                    <w:tr2bl w:val="nil"/>
                  </w:tcBorders>
                  <w:noWrap w:val="0"/>
                  <w:vAlign w:val="center"/>
                </w:tcPr>
                <w:p w14:paraId="5DD25E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60</w:t>
                  </w:r>
                </w:p>
              </w:tc>
              <w:tc>
                <w:tcPr>
                  <w:tcW w:w="457" w:type="pct"/>
                  <w:tcBorders>
                    <w:tl2br w:val="nil"/>
                    <w:tr2bl w:val="nil"/>
                  </w:tcBorders>
                  <w:noWrap w:val="0"/>
                  <w:vAlign w:val="center"/>
                </w:tcPr>
                <w:p w14:paraId="347794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50</w:t>
                  </w:r>
                </w:p>
              </w:tc>
            </w:tr>
            <w:tr w14:paraId="640ED01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661" w:type="pct"/>
                  <w:vMerge w:val="continue"/>
                  <w:tcBorders>
                    <w:tl2br w:val="nil"/>
                    <w:tr2bl w:val="nil"/>
                  </w:tcBorders>
                  <w:noWrap w:val="0"/>
                  <w:vAlign w:val="center"/>
                </w:tcPr>
                <w:p w14:paraId="6A65FA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76" w:type="pct"/>
                  <w:vMerge w:val="continue"/>
                  <w:tcBorders>
                    <w:tl2br w:val="nil"/>
                    <w:tr2bl w:val="nil"/>
                  </w:tcBorders>
                  <w:noWrap w:val="0"/>
                  <w:vAlign w:val="center"/>
                </w:tcPr>
                <w:p w14:paraId="4BAC4D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p>
              </w:tc>
              <w:tc>
                <w:tcPr>
                  <w:tcW w:w="812" w:type="pct"/>
                  <w:tcBorders>
                    <w:tl2br w:val="nil"/>
                    <w:tr2bl w:val="nil"/>
                  </w:tcBorders>
                  <w:noWrap w:val="0"/>
                  <w:vAlign w:val="center"/>
                </w:tcPr>
                <w:p w14:paraId="11A33B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北侧</w:t>
                  </w:r>
                </w:p>
              </w:tc>
              <w:tc>
                <w:tcPr>
                  <w:tcW w:w="821" w:type="pct"/>
                  <w:tcBorders>
                    <w:tl2br w:val="nil"/>
                    <w:tr2bl w:val="nil"/>
                  </w:tcBorders>
                  <w:noWrap w:val="0"/>
                  <w:vAlign w:val="center"/>
                </w:tcPr>
                <w:p w14:paraId="3A4393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30</w:t>
                  </w:r>
                </w:p>
              </w:tc>
              <w:tc>
                <w:tcPr>
                  <w:tcW w:w="912" w:type="pct"/>
                  <w:tcBorders>
                    <w:tl2br w:val="nil"/>
                    <w:tr2bl w:val="nil"/>
                  </w:tcBorders>
                  <w:noWrap w:val="0"/>
                  <w:vAlign w:val="center"/>
                </w:tcPr>
                <w:p w14:paraId="56BAA5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46.8</w:t>
                  </w:r>
                </w:p>
              </w:tc>
              <w:tc>
                <w:tcPr>
                  <w:tcW w:w="457" w:type="pct"/>
                  <w:tcBorders>
                    <w:tl2br w:val="nil"/>
                    <w:tr2bl w:val="nil"/>
                  </w:tcBorders>
                  <w:noWrap w:val="0"/>
                  <w:vAlign w:val="center"/>
                </w:tcPr>
                <w:p w14:paraId="389768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60</w:t>
                  </w:r>
                </w:p>
              </w:tc>
              <w:tc>
                <w:tcPr>
                  <w:tcW w:w="457" w:type="pct"/>
                  <w:tcBorders>
                    <w:tl2br w:val="nil"/>
                    <w:tr2bl w:val="nil"/>
                  </w:tcBorders>
                  <w:noWrap w:val="0"/>
                  <w:vAlign w:val="center"/>
                </w:tcPr>
                <w:p w14:paraId="663369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val="en-US" w:eastAsia="zh-CN" w:bidi="ar"/>
                    </w:rPr>
                    <w:t>50</w:t>
                  </w:r>
                </w:p>
              </w:tc>
            </w:tr>
          </w:tbl>
          <w:p w14:paraId="76290EE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由上表可知，厂界噪声</w:t>
            </w:r>
            <w:r>
              <w:rPr>
                <w:rFonts w:hint="default" w:ascii="Times New Roman" w:hAnsi="Times New Roman" w:cs="Times New Roman"/>
                <w:color w:val="auto"/>
                <w:sz w:val="24"/>
                <w:szCs w:val="24"/>
                <w:highlight w:val="none"/>
                <w:lang w:val="en-US" w:eastAsia="zh-CN"/>
              </w:rPr>
              <w:t>贡献值</w:t>
            </w:r>
            <w:r>
              <w:rPr>
                <w:rFonts w:hint="default" w:ascii="Times New Roman" w:hAnsi="Times New Roman" w:cs="Times New Roman"/>
                <w:color w:val="auto"/>
                <w:sz w:val="24"/>
                <w:szCs w:val="24"/>
                <w:highlight w:val="none"/>
              </w:rPr>
              <w:t>均能满足《工业企业厂界环境噪声排放标准》（GB12348-2008）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类排放限值昼间≤</w:t>
            </w:r>
            <w:r>
              <w:rPr>
                <w:rFonts w:hint="default" w:ascii="Times New Roman" w:hAnsi="Times New Roman"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dB</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A</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，夜间≤</w:t>
            </w:r>
            <w:r>
              <w:rPr>
                <w:rFonts w:hint="default" w:ascii="Times New Roman" w:hAnsi="Times New Roman" w:cs="Times New Roman"/>
                <w:color w:val="auto"/>
                <w:sz w:val="24"/>
                <w:szCs w:val="24"/>
                <w:highlight w:val="none"/>
                <w:lang w:val="en-US" w:eastAsia="zh-CN"/>
              </w:rPr>
              <w:t>50</w:t>
            </w:r>
            <w:r>
              <w:rPr>
                <w:rFonts w:hint="default" w:ascii="Times New Roman" w:hAnsi="Times New Roman" w:cs="Times New Roman"/>
                <w:color w:val="auto"/>
                <w:sz w:val="24"/>
                <w:szCs w:val="24"/>
                <w:highlight w:val="none"/>
              </w:rPr>
              <w:t>dB</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A</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要求。根据预测结果，本项目运营后产生的噪声对周围环境的影响不大。</w:t>
            </w:r>
          </w:p>
          <w:p w14:paraId="131F14FB">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综上所述，建设项目噪声排放对周围的环境影响较小，噪声</w:t>
            </w:r>
            <w:r>
              <w:rPr>
                <w:rFonts w:hint="default" w:ascii="Times New Roman" w:hAnsi="Times New Roman" w:cs="Times New Roman"/>
                <w:color w:val="auto"/>
                <w:sz w:val="24"/>
                <w:szCs w:val="24"/>
                <w:highlight w:val="none"/>
                <w:lang w:val="en-US" w:eastAsia="zh-CN"/>
              </w:rPr>
              <w:t>防治</w:t>
            </w:r>
            <w:r>
              <w:rPr>
                <w:rFonts w:hint="default" w:ascii="Times New Roman" w:hAnsi="Times New Roman" w:cs="Times New Roman"/>
                <w:color w:val="auto"/>
                <w:sz w:val="24"/>
                <w:szCs w:val="24"/>
                <w:highlight w:val="none"/>
              </w:rPr>
              <w:t>措施可行。企业在生产过程中应注意加强设备噪声治理，在项目新建过程中应重视减震工程的设计及施工质量。确保厂界噪声达标，不影响周边环境。</w:t>
            </w:r>
            <w:bookmarkEnd w:id="64"/>
            <w:bookmarkEnd w:id="65"/>
          </w:p>
          <w:p w14:paraId="545ADABB">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3.2 防治措施</w:t>
            </w:r>
          </w:p>
          <w:p w14:paraId="2629CFA5">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环评建议要求采取以下措施对运营期噪声进行防治：</w:t>
            </w:r>
          </w:p>
          <w:p w14:paraId="190E10E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（1）加强车辆管理，避免车辆不必要的怠速、制动、</w:t>
            </w:r>
            <w:r>
              <w:rPr>
                <w:rFonts w:hint="default" w:ascii="Times New Roman" w:hAnsi="Times New Roman" w:cs="Times New Roman"/>
                <w:color w:val="auto"/>
                <w:sz w:val="24"/>
                <w:szCs w:val="24"/>
                <w:highlight w:val="none"/>
                <w:lang w:eastAsia="zh-CN"/>
              </w:rPr>
              <w:t>启动</w:t>
            </w:r>
            <w:r>
              <w:rPr>
                <w:rFonts w:hint="default" w:ascii="Times New Roman" w:hAnsi="Times New Roman" w:cs="Times New Roman"/>
                <w:color w:val="auto"/>
                <w:sz w:val="24"/>
                <w:szCs w:val="24"/>
                <w:highlight w:val="none"/>
              </w:rPr>
              <w:t>以及鸣号；</w:t>
            </w:r>
          </w:p>
          <w:p w14:paraId="470816E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（2）加强设备维护，对各机械设备及运输车辆进行定期检查、维护以及维修，及时更换一些破损零部件，确保机械设备正常运转，减少非正常生产噪声；</w:t>
            </w:r>
          </w:p>
          <w:p w14:paraId="33F815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（3）加强职工劳动保护，高噪声接触岗位要求职工佩戴耳罩，采用轮岗制度减少职工对高噪声接触时间。</w:t>
            </w:r>
          </w:p>
          <w:p w14:paraId="4E8A7993">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（4）高噪声设备</w:t>
            </w:r>
            <w:r>
              <w:rPr>
                <w:rFonts w:hint="default" w:ascii="Times New Roman" w:hAnsi="Times New Roman" w:cs="Times New Roman"/>
                <w:color w:val="auto"/>
                <w:sz w:val="24"/>
                <w:szCs w:val="24"/>
                <w:highlight w:val="none"/>
                <w:lang w:val="en-US" w:eastAsia="zh-CN"/>
              </w:rPr>
              <w:t>集中布置在项目区东侧，同时</w:t>
            </w:r>
            <w:r>
              <w:rPr>
                <w:rFonts w:hint="default" w:ascii="Times New Roman" w:hAnsi="Times New Roman" w:cs="Times New Roman"/>
                <w:color w:val="auto"/>
                <w:sz w:val="24"/>
                <w:szCs w:val="24"/>
                <w:highlight w:val="none"/>
              </w:rPr>
              <w:t>采取集中控制，采取密闭隔离、减振等措施。</w:t>
            </w:r>
          </w:p>
          <w:p w14:paraId="5E44A5E3">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3.3 监测计划</w:t>
            </w:r>
          </w:p>
          <w:p w14:paraId="216080F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本工程营运期</w:t>
            </w:r>
            <w:r>
              <w:rPr>
                <w:rFonts w:hint="default" w:ascii="Times New Roman" w:hAnsi="Times New Roman" w:cs="Times New Roman"/>
                <w:color w:val="auto"/>
                <w:sz w:val="24"/>
                <w:szCs w:val="24"/>
                <w:highlight w:val="none"/>
                <w:lang w:val="en-US" w:eastAsia="zh-CN"/>
              </w:rPr>
              <w:t>噪声</w:t>
            </w:r>
            <w:r>
              <w:rPr>
                <w:rFonts w:hint="default" w:ascii="Times New Roman" w:hAnsi="Times New Roman" w:cs="Times New Roman"/>
                <w:color w:val="auto"/>
                <w:sz w:val="24"/>
                <w:szCs w:val="24"/>
                <w:highlight w:val="none"/>
              </w:rPr>
              <w:t>监测方案计划见表</w:t>
            </w:r>
            <w:r>
              <w:rPr>
                <w:rFonts w:hint="default"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w:t>
            </w:r>
          </w:p>
          <w:p w14:paraId="0D18EA42">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11</w:t>
            </w:r>
            <w:r>
              <w:rPr>
                <w:rFonts w:hint="default" w:ascii="Times New Roman" w:hAnsi="Times New Roman" w:cs="Times New Roman"/>
                <w:b/>
                <w:bCs/>
                <w:color w:val="auto"/>
                <w:highlight w:val="none"/>
                <w:lang w:val="en-US" w:eastAsia="zh-CN"/>
              </w:rPr>
              <w:t xml:space="preserve">   运营期噪声监测计划表</w:t>
            </w:r>
          </w:p>
          <w:tbl>
            <w:tblPr>
              <w:tblStyle w:val="19"/>
              <w:tblW w:w="822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682"/>
              <w:gridCol w:w="1618"/>
              <w:gridCol w:w="3479"/>
            </w:tblGrid>
            <w:tr w14:paraId="54D679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441" w:type="dxa"/>
                  <w:tcBorders>
                    <w:bottom w:val="single" w:color="auto" w:sz="12" w:space="0"/>
                  </w:tcBorders>
                  <w:vAlign w:val="center"/>
                </w:tcPr>
                <w:p w14:paraId="67ADDD9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监测点位</w:t>
                  </w:r>
                </w:p>
              </w:tc>
              <w:tc>
                <w:tcPr>
                  <w:tcW w:w="1682" w:type="dxa"/>
                  <w:tcBorders>
                    <w:bottom w:val="single" w:color="auto" w:sz="12" w:space="0"/>
                  </w:tcBorders>
                  <w:vAlign w:val="center"/>
                </w:tcPr>
                <w:p w14:paraId="465AFF0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w:t>
                  </w:r>
                  <w:r>
                    <w:rPr>
                      <w:rFonts w:hint="default" w:ascii="Times New Roman" w:hAnsi="Times New Roman" w:cs="Times New Roman"/>
                      <w:b w:val="0"/>
                      <w:bCs w:val="0"/>
                      <w:color w:val="auto"/>
                      <w:sz w:val="21"/>
                      <w:szCs w:val="21"/>
                      <w:highlight w:val="none"/>
                      <w:lang w:val="en-US" w:eastAsia="zh-CN"/>
                    </w:rPr>
                    <w:t>指标</w:t>
                  </w:r>
                </w:p>
              </w:tc>
              <w:tc>
                <w:tcPr>
                  <w:tcW w:w="1618" w:type="dxa"/>
                  <w:tcBorders>
                    <w:bottom w:val="single" w:color="auto" w:sz="12" w:space="0"/>
                  </w:tcBorders>
                  <w:vAlign w:val="center"/>
                </w:tcPr>
                <w:p w14:paraId="4A6C886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监测频次</w:t>
                  </w:r>
                </w:p>
              </w:tc>
              <w:tc>
                <w:tcPr>
                  <w:tcW w:w="3479" w:type="dxa"/>
                  <w:tcBorders>
                    <w:bottom w:val="single" w:color="auto" w:sz="12" w:space="0"/>
                  </w:tcBorders>
                  <w:vAlign w:val="center"/>
                </w:tcPr>
                <w:p w14:paraId="0588ACF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执行排放标准</w:t>
                  </w:r>
                </w:p>
              </w:tc>
            </w:tr>
            <w:tr w14:paraId="69943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1" w:type="dxa"/>
                  <w:tcBorders>
                    <w:top w:val="single" w:color="auto" w:sz="12" w:space="0"/>
                  </w:tcBorders>
                  <w:vAlign w:val="center"/>
                </w:tcPr>
                <w:p w14:paraId="2F8551C3">
                  <w:pPr>
                    <w:pStyle w:val="35"/>
                    <w:bidi w:val="0"/>
                    <w:rPr>
                      <w:rFonts w:hint="default" w:ascii="Times New Roman" w:hAnsi="Times New Roman" w:cs="Times New Roman"/>
                      <w:b w:val="0"/>
                      <w:bCs w:val="0"/>
                      <w:color w:val="auto"/>
                      <w:sz w:val="21"/>
                      <w:szCs w:val="21"/>
                      <w:highlight w:val="none"/>
                    </w:rPr>
                  </w:pPr>
                  <w:bookmarkStart w:id="66" w:name="hmcheck_c573d518246640419218722abadd0ffb"/>
                  <w:bookmarkStart w:id="67" w:name="hmcheck_9b0f86ce33754acb80bed99503309781"/>
                  <w:r>
                    <w:rPr>
                      <w:rFonts w:hint="default" w:ascii="Times New Roman" w:hAnsi="Times New Roman" w:cs="Times New Roman"/>
                      <w:b w:val="0"/>
                      <w:bCs w:val="0"/>
                      <w:color w:val="auto"/>
                      <w:sz w:val="21"/>
                      <w:szCs w:val="21"/>
                      <w:highlight w:val="none"/>
                    </w:rPr>
                    <w:t>厂</w:t>
                  </w:r>
                  <w:bookmarkEnd w:id="66"/>
                  <w:bookmarkEnd w:id="67"/>
                  <w:r>
                    <w:rPr>
                      <w:rFonts w:hint="default" w:ascii="Times New Roman" w:hAnsi="Times New Roman" w:cs="Times New Roman"/>
                      <w:b w:val="0"/>
                      <w:bCs w:val="0"/>
                      <w:color w:val="auto"/>
                      <w:sz w:val="21"/>
                      <w:szCs w:val="21"/>
                      <w:highlight w:val="none"/>
                    </w:rPr>
                    <w:t>界</w:t>
                  </w:r>
                  <w:r>
                    <w:rPr>
                      <w:rFonts w:hint="default" w:ascii="Times New Roman" w:hAnsi="Times New Roman" w:cs="Times New Roman"/>
                      <w:b w:val="0"/>
                      <w:bCs w:val="0"/>
                      <w:color w:val="auto"/>
                      <w:sz w:val="21"/>
                      <w:szCs w:val="21"/>
                      <w:highlight w:val="none"/>
                      <w:lang w:val="en-US" w:eastAsia="zh-CN"/>
                    </w:rPr>
                    <w:t>外东南西北处</w:t>
                  </w:r>
                  <w:r>
                    <w:rPr>
                      <w:rFonts w:hint="default" w:ascii="Times New Roman" w:hAnsi="Times New Roman" w:cs="Times New Roman"/>
                      <w:b w:val="0"/>
                      <w:bCs w:val="0"/>
                      <w:color w:val="auto"/>
                      <w:sz w:val="21"/>
                      <w:szCs w:val="21"/>
                      <w:highlight w:val="none"/>
                    </w:rPr>
                    <w:t>1m</w:t>
                  </w:r>
                </w:p>
              </w:tc>
              <w:tc>
                <w:tcPr>
                  <w:tcW w:w="1682" w:type="dxa"/>
                  <w:tcBorders>
                    <w:top w:val="single" w:color="auto" w:sz="12" w:space="0"/>
                  </w:tcBorders>
                  <w:vAlign w:val="center"/>
                </w:tcPr>
                <w:p w14:paraId="7E4D651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等效</w:t>
                  </w:r>
                  <w:r>
                    <w:rPr>
                      <w:rFonts w:hint="default" w:ascii="Times New Roman" w:hAnsi="Times New Roman" w:cs="Times New Roman"/>
                      <w:b w:val="0"/>
                      <w:bCs w:val="0"/>
                      <w:color w:val="auto"/>
                      <w:sz w:val="21"/>
                      <w:szCs w:val="21"/>
                      <w:highlight w:val="none"/>
                      <w:lang w:val="en-US" w:eastAsia="zh-CN"/>
                    </w:rPr>
                    <w:t>A</w:t>
                  </w:r>
                  <w:r>
                    <w:rPr>
                      <w:rFonts w:hint="default" w:ascii="Times New Roman" w:hAnsi="Times New Roman" w:cs="Times New Roman"/>
                      <w:b w:val="0"/>
                      <w:bCs w:val="0"/>
                      <w:color w:val="auto"/>
                      <w:sz w:val="21"/>
                      <w:szCs w:val="21"/>
                      <w:highlight w:val="none"/>
                    </w:rPr>
                    <w:t>声级</w:t>
                  </w:r>
                </w:p>
              </w:tc>
              <w:tc>
                <w:tcPr>
                  <w:tcW w:w="1618" w:type="dxa"/>
                  <w:tcBorders>
                    <w:top w:val="single" w:color="auto" w:sz="12" w:space="0"/>
                  </w:tcBorders>
                  <w:vAlign w:val="center"/>
                </w:tcPr>
                <w:p w14:paraId="2DF5353B">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一次/季度</w:t>
                  </w:r>
                </w:p>
              </w:tc>
              <w:tc>
                <w:tcPr>
                  <w:tcW w:w="3479" w:type="dxa"/>
                  <w:tcBorders>
                    <w:top w:val="single" w:color="auto" w:sz="12" w:space="0"/>
                  </w:tcBorders>
                  <w:vAlign w:val="center"/>
                </w:tcPr>
                <w:p w14:paraId="2BF0C78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《工业企业厂界环境噪声排放标准》（GB12348-2008）</w:t>
                  </w:r>
                  <w:r>
                    <w:rPr>
                      <w:rFonts w:hint="default" w:ascii="Times New Roman" w:hAnsi="Times New Roman" w:cs="Times New Roman"/>
                      <w:b w:val="0"/>
                      <w:bCs w:val="0"/>
                      <w:color w:val="auto"/>
                      <w:sz w:val="21"/>
                      <w:szCs w:val="21"/>
                      <w:highlight w:val="none"/>
                      <w:lang w:val="en-US" w:eastAsia="zh-CN"/>
                    </w:rPr>
                    <w:t>2</w:t>
                  </w:r>
                  <w:r>
                    <w:rPr>
                      <w:rFonts w:hint="default" w:ascii="Times New Roman" w:hAnsi="Times New Roman" w:cs="Times New Roman"/>
                      <w:b w:val="0"/>
                      <w:bCs w:val="0"/>
                      <w:color w:val="auto"/>
                      <w:sz w:val="21"/>
                      <w:szCs w:val="21"/>
                      <w:highlight w:val="none"/>
                    </w:rPr>
                    <w:t>类标准限</w:t>
                  </w:r>
                </w:p>
              </w:tc>
            </w:tr>
          </w:tbl>
          <w:p w14:paraId="43C60AE9">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3.4运营期声环境影响结论</w:t>
            </w:r>
          </w:p>
          <w:p w14:paraId="65301A8A">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项目在采取了各项噪声控制措施后，对项目区声环境的影响是可接受的。</w:t>
            </w:r>
          </w:p>
          <w:p w14:paraId="6F0956C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、固体废物环境影响和保护措施</w:t>
            </w:r>
          </w:p>
          <w:p w14:paraId="64D377F0">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 xml:space="preserve">4.1 </w:t>
            </w:r>
            <w:r>
              <w:rPr>
                <w:rFonts w:hint="default" w:ascii="Times New Roman" w:hAnsi="Times New Roman" w:cs="Times New Roman"/>
                <w:b/>
                <w:bCs/>
                <w:color w:val="auto"/>
                <w:sz w:val="24"/>
                <w:szCs w:val="24"/>
                <w:highlight w:val="none"/>
              </w:rPr>
              <w:t>固体废物</w:t>
            </w:r>
            <w:r>
              <w:rPr>
                <w:rFonts w:hint="default" w:ascii="Times New Roman" w:hAnsi="Times New Roman" w:cs="Times New Roman"/>
                <w:b/>
                <w:bCs/>
                <w:color w:val="auto"/>
                <w:sz w:val="24"/>
                <w:szCs w:val="24"/>
                <w:highlight w:val="none"/>
                <w:lang w:val="en-US" w:eastAsia="zh-CN"/>
              </w:rPr>
              <w:t>产生情况</w:t>
            </w:r>
          </w:p>
          <w:p w14:paraId="7FE8CB42">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本项目运营期产生的固体废物包括：（1）生活垃圾；（2）一般固体废物；（3）危险废物。</w:t>
            </w:r>
          </w:p>
          <w:p w14:paraId="4993ADB5">
            <w:pPr>
              <w:spacing w:line="360" w:lineRule="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4.1.1</w:t>
            </w:r>
            <w:r>
              <w:rPr>
                <w:rFonts w:hint="default" w:ascii="Times New Roman" w:hAnsi="Times New Roman" w:eastAsia="宋体" w:cs="Times New Roman"/>
                <w:b/>
                <w:bCs w:val="0"/>
                <w:color w:val="auto"/>
                <w:sz w:val="24"/>
                <w:szCs w:val="24"/>
                <w:highlight w:val="none"/>
                <w:lang w:val="en-US" w:eastAsia="zh-CN"/>
              </w:rPr>
              <w:t>生活垃圾</w:t>
            </w:r>
          </w:p>
          <w:p w14:paraId="22C7326A">
            <w:pPr>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color w:val="auto"/>
                <w:sz w:val="24"/>
                <w:highlight w:val="none"/>
              </w:rPr>
              <w:t>本项目建成后，拟聘用</w:t>
            </w:r>
            <w:r>
              <w:rPr>
                <w:rFonts w:hint="default" w:ascii="Times New Roman" w:hAnsi="Times New Roman" w:cs="Times New Roman"/>
                <w:color w:val="auto"/>
                <w:sz w:val="24"/>
                <w:highlight w:val="none"/>
                <w:lang w:val="en-US" w:eastAsia="zh-CN"/>
              </w:rPr>
              <w:t>15</w:t>
            </w:r>
            <w:r>
              <w:rPr>
                <w:rFonts w:hint="default" w:ascii="Times New Roman" w:hAnsi="Times New Roman" w:cs="Times New Roman"/>
                <w:color w:val="auto"/>
                <w:sz w:val="24"/>
                <w:highlight w:val="none"/>
              </w:rPr>
              <w:t>名职工，职工生活垃圾以1kg/d·人计，则生活垃圾产生量为</w:t>
            </w:r>
            <w:r>
              <w:rPr>
                <w:rFonts w:hint="default" w:ascii="Times New Roman" w:hAnsi="Times New Roman" w:cs="Times New Roman"/>
                <w:color w:val="auto"/>
                <w:sz w:val="24"/>
                <w:highlight w:val="none"/>
                <w:lang w:val="en-US" w:eastAsia="zh-CN"/>
              </w:rPr>
              <w:t>15</w:t>
            </w:r>
            <w:r>
              <w:rPr>
                <w:rFonts w:hint="default" w:ascii="Times New Roman" w:hAnsi="Times New Roman" w:cs="Times New Roman"/>
                <w:color w:val="auto"/>
                <w:sz w:val="24"/>
                <w:highlight w:val="none"/>
              </w:rPr>
              <w:t>kg/d（0.</w:t>
            </w:r>
            <w:r>
              <w:rPr>
                <w:rFonts w:hint="default"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t/a，以工作时间</w:t>
            </w:r>
            <w:r>
              <w:rPr>
                <w:rFonts w:hint="default" w:ascii="Times New Roman" w:hAnsi="Times New Roman" w:cs="Times New Roman"/>
                <w:color w:val="auto"/>
                <w:sz w:val="24"/>
                <w:highlight w:val="none"/>
                <w:lang w:val="en-US" w:eastAsia="zh-CN"/>
              </w:rPr>
              <w:t>60</w:t>
            </w:r>
            <w:r>
              <w:rPr>
                <w:rFonts w:hint="default" w:ascii="Times New Roman" w:hAnsi="Times New Roman" w:cs="Times New Roman"/>
                <w:color w:val="auto"/>
                <w:sz w:val="24"/>
                <w:highlight w:val="none"/>
              </w:rPr>
              <w:t>d/a计）。生活垃圾分类收集，定期交由环卫部门统一处置</w:t>
            </w:r>
            <w:r>
              <w:rPr>
                <w:rFonts w:hint="default" w:ascii="Times New Roman" w:hAnsi="Times New Roman" w:cs="Times New Roman"/>
                <w:color w:val="auto"/>
                <w:sz w:val="24"/>
                <w:highlight w:val="none"/>
                <w:lang w:eastAsia="zh-CN"/>
              </w:rPr>
              <w:t>。</w:t>
            </w:r>
          </w:p>
          <w:p w14:paraId="0A8A2B9B">
            <w:pPr>
              <w:spacing w:line="360" w:lineRule="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4.1.2</w:t>
            </w:r>
            <w:r>
              <w:rPr>
                <w:rFonts w:hint="default" w:ascii="Times New Roman" w:hAnsi="Times New Roman" w:eastAsia="宋体" w:cs="Times New Roman"/>
                <w:b/>
                <w:bCs w:val="0"/>
                <w:color w:val="auto"/>
                <w:sz w:val="24"/>
                <w:szCs w:val="24"/>
                <w:highlight w:val="none"/>
                <w:lang w:val="en-US" w:eastAsia="zh-CN"/>
              </w:rPr>
              <w:t>一般固体废物</w:t>
            </w:r>
          </w:p>
          <w:p w14:paraId="2F01ACC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（1）杂质</w:t>
            </w:r>
          </w:p>
          <w:p w14:paraId="1A91B43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根据建设单位提供资料，</w:t>
            </w:r>
            <w:r>
              <w:rPr>
                <w:rFonts w:hint="default" w:ascii="Times New Roman" w:hAnsi="Times New Roman" w:cs="Times New Roman"/>
                <w:color w:val="auto"/>
                <w:sz w:val="24"/>
                <w:szCs w:val="24"/>
                <w:highlight w:val="none"/>
                <w:lang w:val="en-US" w:eastAsia="zh-CN"/>
              </w:rPr>
              <w:t>玉米中的</w:t>
            </w:r>
            <w:r>
              <w:rPr>
                <w:rFonts w:hint="eastAsia" w:cs="Times New Roman"/>
                <w:color w:val="auto"/>
                <w:sz w:val="24"/>
                <w:szCs w:val="24"/>
                <w:highlight w:val="none"/>
                <w:lang w:val="en-US" w:eastAsia="zh-CN"/>
              </w:rPr>
              <w:t>杂质</w:t>
            </w:r>
            <w:r>
              <w:rPr>
                <w:rFonts w:hint="default" w:ascii="Times New Roman" w:hAnsi="Times New Roman" w:cs="Times New Roman"/>
                <w:color w:val="auto"/>
                <w:sz w:val="24"/>
                <w:szCs w:val="24"/>
                <w:highlight w:val="none"/>
                <w:lang w:val="en-US" w:eastAsia="zh-CN"/>
              </w:rPr>
              <w:t>含量为0.1%</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项目年烘干玉米12</w:t>
            </w:r>
            <w:r>
              <w:rPr>
                <w:rFonts w:hint="default" w:ascii="Times New Roman" w:hAnsi="Times New Roman" w:cs="Times New Roman"/>
                <w:color w:val="auto"/>
                <w:sz w:val="24"/>
                <w:szCs w:val="24"/>
                <w:highlight w:val="none"/>
              </w:rPr>
              <w:t>万</w:t>
            </w:r>
            <w:r>
              <w:rPr>
                <w:rFonts w:hint="default" w:ascii="Times New Roman" w:hAnsi="Times New Roman" w:cs="Times New Roman"/>
                <w:color w:val="auto"/>
                <w:sz w:val="24"/>
                <w:szCs w:val="24"/>
                <w:highlight w:val="none"/>
                <w:lang w:val="en-US" w:eastAsia="zh-CN"/>
              </w:rPr>
              <w:t>吨，</w:t>
            </w:r>
            <w:r>
              <w:rPr>
                <w:rFonts w:hint="default" w:ascii="Times New Roman" w:hAnsi="Times New Roman" w:cs="Times New Roman"/>
                <w:color w:val="auto"/>
                <w:sz w:val="24"/>
                <w:szCs w:val="24"/>
                <w:highlight w:val="none"/>
              </w:rPr>
              <w:t>则产生杂质（碎粒、玉米红衣）合计约</w:t>
            </w:r>
            <w:r>
              <w:rPr>
                <w:rFonts w:hint="default" w:ascii="Times New Roman" w:hAnsi="Times New Roman" w:cs="Times New Roman"/>
                <w:color w:val="auto"/>
                <w:sz w:val="24"/>
                <w:szCs w:val="24"/>
                <w:highlight w:val="none"/>
                <w:lang w:val="en-US" w:eastAsia="zh-CN"/>
              </w:rPr>
              <w:t>120</w:t>
            </w:r>
            <w:r>
              <w:rPr>
                <w:rFonts w:hint="default" w:ascii="Times New Roman" w:hAnsi="Times New Roman" w:cs="Times New Roman"/>
                <w:color w:val="auto"/>
                <w:sz w:val="24"/>
                <w:szCs w:val="24"/>
                <w:highlight w:val="none"/>
              </w:rPr>
              <w:t>t/a。这部分固体废物主要是有机质，</w:t>
            </w:r>
            <w:r>
              <w:rPr>
                <w:rFonts w:hint="default" w:ascii="Times New Roman" w:hAnsi="Times New Roman" w:cs="Times New Roman"/>
                <w:color w:val="auto"/>
                <w:sz w:val="24"/>
                <w:szCs w:val="24"/>
                <w:highlight w:val="none"/>
                <w:lang w:val="en-US" w:eastAsia="zh-CN"/>
              </w:rPr>
              <w:t>集中收集在封闭的塑料袋内，贮存在一般固体废物贮存点，定期</w:t>
            </w:r>
            <w:bookmarkStart w:id="68" w:name="hmcheck_2827020b84cb43c0878d88af867dd073"/>
            <w:r>
              <w:rPr>
                <w:rFonts w:hint="default" w:ascii="Times New Roman" w:hAnsi="Times New Roman" w:cs="Times New Roman"/>
                <w:color w:val="auto"/>
                <w:sz w:val="24"/>
                <w:szCs w:val="24"/>
                <w:highlight w:val="none"/>
              </w:rPr>
              <w:t>外</w:t>
            </w:r>
            <w:bookmarkEnd w:id="68"/>
            <w:r>
              <w:rPr>
                <w:rFonts w:hint="default" w:ascii="Times New Roman" w:hAnsi="Times New Roman" w:cs="Times New Roman"/>
                <w:color w:val="auto"/>
                <w:sz w:val="24"/>
                <w:szCs w:val="24"/>
                <w:highlight w:val="none"/>
              </w:rPr>
              <w:t>售予附近农户用于堆肥。</w:t>
            </w:r>
          </w:p>
          <w:p w14:paraId="09E0D519">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（2）炉渣</w:t>
            </w:r>
          </w:p>
          <w:p w14:paraId="21E7E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灰渣、脱硫石膏采用《污染源源强核算技术指南 锅炉》（HJ991-2018）中的物料衡算法计算。</w:t>
            </w:r>
          </w:p>
          <w:p w14:paraId="05715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①灰渣产生量按下式计算</w:t>
            </w:r>
          </w:p>
          <w:p w14:paraId="3EF7A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object>
                <v:shape id="_x0000_i1025" o:spt="75" type="#_x0000_t75" style="height:34pt;width:147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14:paraId="1D6D0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式中：</w:t>
            </w:r>
            <w:bookmarkStart w:id="69" w:name="hmcheck_df5ab1677092485f9cc01399a96ff789"/>
            <w:r>
              <w:rPr>
                <w:rFonts w:hint="default" w:ascii="Times New Roman" w:hAnsi="Times New Roman" w:cs="Times New Roman"/>
                <w:color w:val="auto"/>
                <w:sz w:val="24"/>
                <w:szCs w:val="24"/>
                <w:highlight w:val="none"/>
              </w:rPr>
              <w:t>E</w:t>
            </w:r>
            <w:r>
              <w:rPr>
                <w:rFonts w:hint="default" w:ascii="Times New Roman" w:hAnsi="Times New Roman" w:cs="Times New Roman"/>
                <w:color w:val="auto"/>
                <w:sz w:val="24"/>
                <w:szCs w:val="24"/>
                <w:highlight w:val="none"/>
                <w:vertAlign w:val="subscript"/>
                <w:lang w:val="en-US" w:eastAsia="zh-CN"/>
              </w:rPr>
              <w:t>hz</w:t>
            </w:r>
            <w:bookmarkEnd w:id="69"/>
            <w:r>
              <w:rPr>
                <w:rFonts w:hint="default" w:ascii="Times New Roman" w:hAnsi="Times New Roman" w:cs="Times New Roman"/>
                <w:color w:val="auto"/>
                <w:sz w:val="24"/>
                <w:szCs w:val="24"/>
                <w:highlight w:val="none"/>
              </w:rPr>
              <w:t>——核算时段内</w:t>
            </w:r>
            <w:r>
              <w:rPr>
                <w:rFonts w:hint="default" w:ascii="Times New Roman" w:hAnsi="Times New Roman" w:cs="Times New Roman"/>
                <w:color w:val="auto"/>
                <w:sz w:val="24"/>
                <w:szCs w:val="24"/>
                <w:highlight w:val="none"/>
                <w:lang w:val="en-US" w:eastAsia="zh-CN"/>
              </w:rPr>
              <w:t>灰渣产生</w:t>
            </w:r>
            <w:r>
              <w:rPr>
                <w:rFonts w:hint="default" w:ascii="Times New Roman" w:hAnsi="Times New Roman" w:cs="Times New Roman"/>
                <w:color w:val="auto"/>
                <w:sz w:val="24"/>
                <w:szCs w:val="24"/>
                <w:highlight w:val="none"/>
              </w:rPr>
              <w:t>量，t；</w:t>
            </w:r>
            <w:r>
              <w:rPr>
                <w:rFonts w:hint="default" w:ascii="Times New Roman" w:hAnsi="Times New Roman" w:cs="Times New Roman"/>
                <w:color w:val="auto"/>
                <w:sz w:val="24"/>
                <w:szCs w:val="24"/>
                <w:highlight w:val="none"/>
                <w:lang w:val="en-US" w:eastAsia="zh-CN"/>
              </w:rPr>
              <w:t>根据飞灰份额</w:t>
            </w:r>
            <w:bookmarkStart w:id="70" w:name="hmcheck_1dfc5be4c22a40af99f4c6ee2c3df870"/>
            <w:r>
              <w:rPr>
                <w:rFonts w:hint="default" w:ascii="Times New Roman" w:hAnsi="Times New Roman" w:cs="Times New Roman"/>
                <w:color w:val="auto"/>
                <w:sz w:val="24"/>
                <w:szCs w:val="24"/>
                <w:highlight w:val="none"/>
                <w:lang w:val="en-US" w:eastAsia="zh-CN"/>
              </w:rPr>
              <w:t>dfh</w:t>
            </w:r>
            <w:bookmarkEnd w:id="70"/>
            <w:r>
              <w:rPr>
                <w:rFonts w:hint="default" w:ascii="Times New Roman" w:hAnsi="Times New Roman" w:cs="Times New Roman"/>
                <w:color w:val="auto"/>
                <w:sz w:val="24"/>
                <w:szCs w:val="24"/>
                <w:highlight w:val="none"/>
                <w:lang w:val="en-US" w:eastAsia="zh-CN"/>
              </w:rPr>
              <w:t>可分别核算飞灰、灰渣产生量；</w:t>
            </w:r>
          </w:p>
          <w:p w14:paraId="0ABEE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R——核算时段内锅炉燃料耗量，t（取</w:t>
            </w:r>
            <w:r>
              <w:rPr>
                <w:rFonts w:hint="default" w:ascii="Times New Roman" w:hAnsi="Times New Roman" w:cs="Times New Roman"/>
                <w:color w:val="auto"/>
                <w:sz w:val="24"/>
                <w:szCs w:val="24"/>
                <w:highlight w:val="none"/>
                <w:lang w:val="en-US" w:eastAsia="zh-CN"/>
              </w:rPr>
              <w:t>4000t</w:t>
            </w:r>
            <w:r>
              <w:rPr>
                <w:rFonts w:hint="default" w:ascii="Times New Roman" w:hAnsi="Times New Roman" w:cs="Times New Roman"/>
                <w:color w:val="auto"/>
                <w:sz w:val="24"/>
                <w:szCs w:val="24"/>
                <w:highlight w:val="none"/>
              </w:rPr>
              <w:t>）；</w:t>
            </w:r>
          </w:p>
          <w:p w14:paraId="18AE0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w:t>
            </w:r>
            <w:r>
              <w:rPr>
                <w:rFonts w:hint="default" w:ascii="Times New Roman" w:hAnsi="Times New Roman" w:cs="Times New Roman"/>
                <w:color w:val="auto"/>
                <w:sz w:val="24"/>
                <w:szCs w:val="24"/>
                <w:highlight w:val="none"/>
                <w:vertAlign w:val="subscript"/>
              </w:rPr>
              <w:t>ar</w:t>
            </w:r>
            <w:r>
              <w:rPr>
                <w:rFonts w:hint="default" w:ascii="Times New Roman" w:hAnsi="Times New Roman" w:cs="Times New Roman"/>
                <w:color w:val="auto"/>
                <w:sz w:val="24"/>
                <w:szCs w:val="24"/>
                <w:highlight w:val="none"/>
              </w:rPr>
              <w:t>——收到基灰分的质量分数，%（取</w:t>
            </w:r>
            <w:r>
              <w:rPr>
                <w:rFonts w:hint="default" w:ascii="Times New Roman" w:hAnsi="Times New Roman" w:cs="Times New Roman"/>
                <w:color w:val="auto"/>
                <w:sz w:val="24"/>
                <w:szCs w:val="24"/>
                <w:highlight w:val="none"/>
                <w:lang w:val="en-US" w:eastAsia="zh-CN"/>
              </w:rPr>
              <w:t>4.03</w:t>
            </w:r>
            <w:r>
              <w:rPr>
                <w:rFonts w:hint="default" w:ascii="Times New Roman" w:hAnsi="Times New Roman" w:cs="Times New Roman"/>
                <w:color w:val="auto"/>
                <w:sz w:val="24"/>
                <w:szCs w:val="24"/>
                <w:highlight w:val="none"/>
              </w:rPr>
              <w:t>）；</w:t>
            </w:r>
          </w:p>
          <w:p w14:paraId="4B282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4</w:t>
            </w:r>
            <w:r>
              <w:rPr>
                <w:rFonts w:hint="default" w:ascii="Times New Roman" w:hAnsi="Times New Roman" w:cs="Times New Roman"/>
                <w:color w:val="auto"/>
                <w:sz w:val="24"/>
                <w:szCs w:val="24"/>
                <w:highlight w:val="none"/>
              </w:rPr>
              <w:t>——锅炉</w:t>
            </w:r>
            <w:r>
              <w:rPr>
                <w:rFonts w:hint="default" w:ascii="Times New Roman" w:hAnsi="Times New Roman" w:cs="Times New Roman"/>
                <w:color w:val="auto"/>
                <w:sz w:val="24"/>
                <w:szCs w:val="24"/>
                <w:highlight w:val="none"/>
                <w:lang w:val="en-US" w:eastAsia="zh-CN"/>
              </w:rPr>
              <w:t>机械不完全燃烧热损失</w:t>
            </w:r>
            <w:r>
              <w:rPr>
                <w:rFonts w:hint="default" w:ascii="Times New Roman" w:hAnsi="Times New Roman" w:cs="Times New Roman"/>
                <w:color w:val="auto"/>
                <w:sz w:val="24"/>
                <w:szCs w:val="24"/>
                <w:highlight w:val="none"/>
              </w:rPr>
              <w:t>，%（取</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w:t>
            </w:r>
          </w:p>
          <w:p w14:paraId="07D07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 xml:space="preserve"> </w:t>
            </w:r>
            <w:bookmarkStart w:id="71" w:name="hmcheck_f1a9330da24a4ec59cead11c3f6668b9"/>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net</w:t>
            </w:r>
            <w:bookmarkEnd w:id="71"/>
            <w:r>
              <w:rPr>
                <w:rFonts w:hint="default" w:ascii="Times New Roman" w:hAnsi="Times New Roman" w:cs="Times New Roman"/>
                <w:color w:val="auto"/>
                <w:sz w:val="24"/>
                <w:szCs w:val="24"/>
                <w:highlight w:val="none"/>
                <w:vertAlign w:val="subscript"/>
                <w:lang w:val="en-US" w:eastAsia="zh-CN"/>
              </w:rPr>
              <w:t>，a</w:t>
            </w:r>
            <w:r>
              <w:rPr>
                <w:rFonts w:hint="default" w:ascii="Times New Roman" w:hAnsi="Times New Roman" w:cs="Times New Roman"/>
                <w:color w:val="auto"/>
                <w:sz w:val="24"/>
                <w:szCs w:val="24"/>
                <w:highlight w:val="none"/>
                <w:lang w:val="en-US" w:eastAsia="zh-CN"/>
              </w:rPr>
              <w:t>r</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收到基低位发热量</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kJ/kg</w:t>
            </w:r>
            <w:r>
              <w:rPr>
                <w:rFonts w:hint="default" w:ascii="Times New Roman" w:hAnsi="Times New Roman" w:cs="Times New Roman"/>
                <w:color w:val="auto"/>
                <w:sz w:val="24"/>
                <w:szCs w:val="24"/>
                <w:highlight w:val="none"/>
              </w:rPr>
              <w:t>（取</w:t>
            </w:r>
            <w:r>
              <w:rPr>
                <w:rFonts w:hint="default" w:ascii="Times New Roman" w:hAnsi="Times New Roman" w:cs="Times New Roman"/>
                <w:color w:val="auto"/>
                <w:sz w:val="24"/>
                <w:szCs w:val="24"/>
                <w:highlight w:val="none"/>
                <w:lang w:val="en-US" w:eastAsia="zh-CN"/>
              </w:rPr>
              <w:t>3767</w:t>
            </w:r>
            <w:r>
              <w:rPr>
                <w:rFonts w:hint="default" w:ascii="Times New Roman" w:hAnsi="Times New Roman" w:cs="Times New Roman"/>
                <w:color w:val="auto"/>
                <w:sz w:val="24"/>
                <w:szCs w:val="24"/>
                <w:highlight w:val="none"/>
              </w:rPr>
              <w:t>）。</w:t>
            </w:r>
          </w:p>
          <w:p w14:paraId="56C16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则</w:t>
            </w:r>
            <w:r>
              <w:rPr>
                <w:rFonts w:hint="default" w:ascii="Times New Roman" w:hAnsi="Times New Roman" w:cs="Times New Roman"/>
                <w:color w:val="auto"/>
                <w:sz w:val="24"/>
                <w:szCs w:val="24"/>
                <w:highlight w:val="none"/>
                <w:lang w:val="en-US" w:eastAsia="zh-CN"/>
              </w:rPr>
              <w:t>灰渣产生</w:t>
            </w:r>
            <w:r>
              <w:rPr>
                <w:rFonts w:hint="default" w:ascii="Times New Roman" w:hAnsi="Times New Roman" w:cs="Times New Roman"/>
                <w:color w:val="auto"/>
                <w:sz w:val="24"/>
                <w:szCs w:val="24"/>
                <w:highlight w:val="none"/>
              </w:rPr>
              <w:t>量为</w:t>
            </w:r>
            <w:r>
              <w:rPr>
                <w:rFonts w:hint="default" w:ascii="Times New Roman" w:hAnsi="Times New Roman" w:cs="Times New Roman"/>
                <w:color w:val="auto"/>
                <w:sz w:val="24"/>
                <w:szCs w:val="24"/>
                <w:highlight w:val="none"/>
                <w:lang w:val="en-US" w:eastAsia="zh-CN"/>
              </w:rPr>
              <w:t>205.69</w:t>
            </w:r>
            <w:r>
              <w:rPr>
                <w:rFonts w:hint="default" w:ascii="Times New Roman" w:hAnsi="Times New Roman" w:cs="Times New Roman"/>
                <w:color w:val="auto"/>
                <w:sz w:val="24"/>
                <w:szCs w:val="24"/>
                <w:highlight w:val="none"/>
              </w:rPr>
              <w:t>t/a。</w:t>
            </w:r>
          </w:p>
          <w:p w14:paraId="589CE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②脱硫副产物产</w:t>
            </w:r>
            <w:bookmarkStart w:id="72" w:name="hmcheck_e337ed1aaf4547c1bbbab2cec773657d"/>
            <w:r>
              <w:rPr>
                <w:rFonts w:hint="default" w:ascii="Times New Roman" w:hAnsi="Times New Roman" w:cs="Times New Roman"/>
                <w:color w:val="auto"/>
                <w:sz w:val="24"/>
                <w:szCs w:val="24"/>
                <w:highlight w:val="none"/>
                <w:lang w:val="en-US" w:eastAsia="zh-CN"/>
              </w:rPr>
              <w:t>生量</w:t>
            </w:r>
            <w:bookmarkEnd w:id="72"/>
            <w:r>
              <w:rPr>
                <w:rFonts w:hint="default" w:ascii="Times New Roman" w:hAnsi="Times New Roman" w:cs="Times New Roman"/>
                <w:color w:val="auto"/>
                <w:sz w:val="24"/>
                <w:szCs w:val="24"/>
                <w:highlight w:val="none"/>
                <w:lang w:val="en-US" w:eastAsia="zh-CN"/>
              </w:rPr>
              <w:t>按下式计算</w:t>
            </w:r>
          </w:p>
          <w:p w14:paraId="11A6D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object>
                <v:shape id="_x0000_i1026" o:spt="75" type="#_x0000_t75" style="height:49.95pt;width:117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p>
          <w:p w14:paraId="6182E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式中：E——核算时段内</w:t>
            </w:r>
            <w:r>
              <w:rPr>
                <w:rFonts w:hint="default" w:ascii="Times New Roman" w:hAnsi="Times New Roman" w:cs="Times New Roman"/>
                <w:color w:val="auto"/>
                <w:sz w:val="24"/>
                <w:szCs w:val="24"/>
                <w:highlight w:val="none"/>
                <w:lang w:val="en-US" w:eastAsia="zh-CN"/>
              </w:rPr>
              <w:t>脱硫副产物产</w:t>
            </w:r>
            <w:bookmarkStart w:id="73" w:name="hmcheck_c773017c451c4849b011e26a8af80ce1"/>
            <w:r>
              <w:rPr>
                <w:rFonts w:hint="default" w:ascii="Times New Roman" w:hAnsi="Times New Roman" w:cs="Times New Roman"/>
                <w:color w:val="auto"/>
                <w:sz w:val="24"/>
                <w:szCs w:val="24"/>
                <w:highlight w:val="none"/>
                <w:lang w:val="en-US" w:eastAsia="zh-CN"/>
              </w:rPr>
              <w:t>生</w:t>
            </w:r>
            <w:r>
              <w:rPr>
                <w:rFonts w:hint="default" w:ascii="Times New Roman" w:hAnsi="Times New Roman" w:cs="Times New Roman"/>
                <w:color w:val="auto"/>
                <w:sz w:val="24"/>
                <w:szCs w:val="24"/>
                <w:highlight w:val="none"/>
              </w:rPr>
              <w:t>量</w:t>
            </w:r>
            <w:bookmarkEnd w:id="73"/>
            <w:r>
              <w:rPr>
                <w:rFonts w:hint="default" w:ascii="Times New Roman" w:hAnsi="Times New Roman" w:cs="Times New Roman"/>
                <w:color w:val="auto"/>
                <w:sz w:val="24"/>
                <w:szCs w:val="24"/>
                <w:highlight w:val="none"/>
              </w:rPr>
              <w:t>，t；</w:t>
            </w:r>
          </w:p>
          <w:p w14:paraId="45EB2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bscript"/>
                <w:lang w:val="en-US" w:eastAsia="zh-CN"/>
              </w:rPr>
              <w:t>f</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脱硫副产物摩尔质量</w:t>
            </w:r>
            <w:r>
              <w:rPr>
                <w:rFonts w:hint="default" w:ascii="Times New Roman" w:hAnsi="Times New Roman" w:cs="Times New Roman"/>
                <w:color w:val="auto"/>
                <w:sz w:val="24"/>
                <w:szCs w:val="24"/>
                <w:highlight w:val="none"/>
              </w:rPr>
              <w:t>（取</w:t>
            </w:r>
            <w:r>
              <w:rPr>
                <w:rFonts w:hint="default" w:ascii="Times New Roman" w:hAnsi="Times New Roman" w:cs="Times New Roman"/>
                <w:color w:val="auto"/>
                <w:sz w:val="24"/>
                <w:szCs w:val="24"/>
                <w:highlight w:val="none"/>
                <w:lang w:val="en-US" w:eastAsia="zh-CN"/>
              </w:rPr>
              <w:t>172</w:t>
            </w:r>
            <w:r>
              <w:rPr>
                <w:rFonts w:hint="default" w:ascii="Times New Roman" w:hAnsi="Times New Roman" w:cs="Times New Roman"/>
                <w:color w:val="auto"/>
                <w:sz w:val="24"/>
                <w:szCs w:val="24"/>
                <w:highlight w:val="none"/>
              </w:rPr>
              <w:t>）；</w:t>
            </w:r>
          </w:p>
          <w:p w14:paraId="35982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E</w:t>
            </w:r>
            <w:r>
              <w:rPr>
                <w:rFonts w:hint="default" w:ascii="Times New Roman" w:hAnsi="Times New Roman" w:cs="Times New Roman"/>
                <w:color w:val="auto"/>
                <w:sz w:val="24"/>
                <w:szCs w:val="24"/>
                <w:highlight w:val="none"/>
                <w:vertAlign w:val="subscript"/>
                <w:lang w:val="en-US" w:eastAsia="zh-CN"/>
              </w:rPr>
              <w:t>S</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核算时段内二氧化硫脱除量</w:t>
            </w:r>
            <w:r>
              <w:rPr>
                <w:rFonts w:hint="default" w:ascii="Times New Roman" w:hAnsi="Times New Roman" w:cs="Times New Roman"/>
                <w:color w:val="auto"/>
                <w:sz w:val="24"/>
                <w:szCs w:val="24"/>
                <w:highlight w:val="none"/>
              </w:rPr>
              <w:t>，t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计算得6.65</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p>
          <w:p w14:paraId="2998A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64</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二氧化硫摩尔质量</w:t>
            </w:r>
            <w:r>
              <w:rPr>
                <w:rFonts w:hint="default" w:ascii="Times New Roman" w:hAnsi="Times New Roman" w:cs="Times New Roman"/>
                <w:color w:val="auto"/>
                <w:sz w:val="24"/>
                <w:szCs w:val="24"/>
                <w:highlight w:val="none"/>
              </w:rPr>
              <w:t>；</w:t>
            </w:r>
          </w:p>
          <w:p w14:paraId="65FF2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C</w:t>
            </w:r>
            <w:r>
              <w:rPr>
                <w:rFonts w:hint="default" w:ascii="Times New Roman" w:hAnsi="Times New Roman" w:cs="Times New Roman"/>
                <w:color w:val="auto"/>
                <w:sz w:val="24"/>
                <w:szCs w:val="24"/>
                <w:highlight w:val="none"/>
                <w:vertAlign w:val="subscript"/>
                <w:lang w:val="en-US" w:eastAsia="zh-CN"/>
              </w:rPr>
              <w:t>s</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脱硫副产物含水率</w:t>
            </w:r>
            <w:r>
              <w:rPr>
                <w:rFonts w:hint="default" w:ascii="Times New Roman" w:hAnsi="Times New Roman" w:cs="Times New Roman"/>
                <w:color w:val="auto"/>
                <w:sz w:val="24"/>
                <w:szCs w:val="24"/>
                <w:highlight w:val="none"/>
              </w:rPr>
              <w:t>，%（取</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w:t>
            </w:r>
          </w:p>
          <w:p w14:paraId="4E56C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w:t>
            </w:r>
            <w:r>
              <w:rPr>
                <w:rFonts w:hint="default" w:ascii="Times New Roman" w:hAnsi="Times New Roman" w:cs="Times New Roman"/>
                <w:color w:val="auto"/>
                <w:sz w:val="24"/>
                <w:szCs w:val="24"/>
                <w:highlight w:val="none"/>
                <w:vertAlign w:val="subscript"/>
                <w:lang w:val="en-US" w:eastAsia="zh-CN"/>
              </w:rPr>
              <w:t>g</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脱硫副产物纯度</w:t>
            </w:r>
            <w:r>
              <w:rPr>
                <w:rFonts w:hint="default" w:ascii="Times New Roman" w:hAnsi="Times New Roman" w:cs="Times New Roman"/>
                <w:color w:val="auto"/>
                <w:sz w:val="24"/>
                <w:szCs w:val="24"/>
                <w:highlight w:val="none"/>
              </w:rPr>
              <w:t>，%（取</w:t>
            </w:r>
            <w:r>
              <w:rPr>
                <w:rFonts w:hint="default" w:ascii="Times New Roman" w:hAnsi="Times New Roman" w:cs="Times New Roman"/>
                <w:color w:val="auto"/>
                <w:sz w:val="24"/>
                <w:szCs w:val="24"/>
                <w:highlight w:val="none"/>
                <w:lang w:val="en-US" w:eastAsia="zh-CN"/>
              </w:rPr>
              <w:t>90</w:t>
            </w:r>
            <w:r>
              <w:rPr>
                <w:rFonts w:hint="default" w:ascii="Times New Roman" w:hAnsi="Times New Roman" w:cs="Times New Roman"/>
                <w:color w:val="auto"/>
                <w:sz w:val="24"/>
                <w:szCs w:val="24"/>
                <w:highlight w:val="none"/>
              </w:rPr>
              <w:t>）。</w:t>
            </w:r>
          </w:p>
          <w:p w14:paraId="674EE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计算得脱硫副产物（石膏）产生</w:t>
            </w:r>
            <w:r>
              <w:rPr>
                <w:rFonts w:hint="default" w:ascii="Times New Roman" w:hAnsi="Times New Roman" w:cs="Times New Roman"/>
                <w:color w:val="auto"/>
                <w:sz w:val="24"/>
                <w:szCs w:val="24"/>
                <w:highlight w:val="none"/>
              </w:rPr>
              <w:t>量为</w:t>
            </w:r>
            <w:r>
              <w:rPr>
                <w:rFonts w:hint="default" w:ascii="Times New Roman" w:hAnsi="Times New Roman" w:cs="Times New Roman"/>
                <w:color w:val="auto"/>
                <w:sz w:val="24"/>
                <w:szCs w:val="24"/>
                <w:highlight w:val="none"/>
                <w:lang w:val="en-US" w:eastAsia="zh-CN"/>
              </w:rPr>
              <w:t>22.06</w:t>
            </w:r>
            <w:r>
              <w:rPr>
                <w:rFonts w:hint="default" w:ascii="Times New Roman" w:hAnsi="Times New Roman" w:cs="Times New Roman"/>
                <w:color w:val="auto"/>
                <w:sz w:val="24"/>
                <w:szCs w:val="24"/>
                <w:highlight w:val="none"/>
              </w:rPr>
              <w:t>t/a。</w:t>
            </w:r>
          </w:p>
          <w:p w14:paraId="669AC3B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锅炉下部排出的灰渣</w:t>
            </w:r>
            <w:bookmarkStart w:id="74" w:name="hmcheck_01ee012f56514e2e995dbdb3a9ca1a90"/>
            <w:r>
              <w:rPr>
                <w:rFonts w:hint="default" w:ascii="Times New Roman" w:hAnsi="Times New Roman" w:cs="Times New Roman"/>
                <w:b w:val="0"/>
                <w:bCs w:val="0"/>
                <w:color w:val="auto"/>
                <w:sz w:val="24"/>
                <w:szCs w:val="24"/>
                <w:highlight w:val="none"/>
                <w:lang w:val="en-US" w:eastAsia="zh-CN"/>
              </w:rPr>
              <w:t>由</w:t>
            </w:r>
            <w:bookmarkEnd w:id="74"/>
            <w:r>
              <w:rPr>
                <w:rFonts w:hint="default" w:ascii="Times New Roman" w:hAnsi="Times New Roman" w:cs="Times New Roman"/>
                <w:b w:val="0"/>
                <w:bCs w:val="0"/>
                <w:color w:val="auto"/>
                <w:sz w:val="24"/>
                <w:szCs w:val="24"/>
                <w:highlight w:val="none"/>
                <w:lang w:val="en-US" w:eastAsia="zh-CN"/>
              </w:rPr>
              <w:t>除渣口直接落入设有重型</w:t>
            </w:r>
            <w:bookmarkStart w:id="75" w:name="hmcheck_33cfa5e7a8de4af5bc5ccd7193b0a605"/>
            <w:r>
              <w:rPr>
                <w:rFonts w:hint="default" w:ascii="Times New Roman" w:hAnsi="Times New Roman" w:cs="Times New Roman"/>
                <w:b w:val="0"/>
                <w:bCs w:val="0"/>
                <w:color w:val="auto"/>
                <w:sz w:val="24"/>
                <w:szCs w:val="24"/>
                <w:highlight w:val="none"/>
                <w:lang w:val="en-US" w:eastAsia="zh-CN"/>
              </w:rPr>
              <w:t>板链</w:t>
            </w:r>
            <w:bookmarkEnd w:id="75"/>
            <w:r>
              <w:rPr>
                <w:rFonts w:hint="default" w:ascii="Times New Roman" w:hAnsi="Times New Roman" w:cs="Times New Roman"/>
                <w:b w:val="0"/>
                <w:bCs w:val="0"/>
                <w:color w:val="auto"/>
                <w:sz w:val="24"/>
                <w:szCs w:val="24"/>
                <w:highlight w:val="none"/>
                <w:lang w:val="en-US" w:eastAsia="zh-CN"/>
              </w:rPr>
              <w:t>除渣机的灰渣沉降池内，为使高温灰渣降温，除渣沟内会添加水，用水来自降温后锅炉排污水，以达到节约用水的要求，</w:t>
            </w:r>
            <w:bookmarkStart w:id="76" w:name="hmcheck_777430637c4f4b628ba5aeb3b8c495cc"/>
            <w:r>
              <w:rPr>
                <w:rFonts w:hint="default" w:ascii="Times New Roman" w:hAnsi="Times New Roman" w:cs="Times New Roman"/>
                <w:b w:val="0"/>
                <w:bCs w:val="0"/>
                <w:color w:val="auto"/>
                <w:sz w:val="24"/>
                <w:szCs w:val="24"/>
                <w:highlight w:val="none"/>
                <w:lang w:val="en-US" w:eastAsia="zh-CN"/>
              </w:rPr>
              <w:t>湿渣</w:t>
            </w:r>
            <w:bookmarkEnd w:id="76"/>
            <w:r>
              <w:rPr>
                <w:rFonts w:hint="default" w:ascii="Times New Roman" w:hAnsi="Times New Roman" w:cs="Times New Roman"/>
                <w:b w:val="0"/>
                <w:bCs w:val="0"/>
                <w:color w:val="auto"/>
                <w:sz w:val="24"/>
                <w:szCs w:val="24"/>
                <w:highlight w:val="none"/>
                <w:lang w:val="en-US" w:eastAsia="zh-CN"/>
              </w:rPr>
              <w:t>最终由</w:t>
            </w:r>
            <w:bookmarkStart w:id="77" w:name="hmcheck_f3bfa7ff108448a59f1c11b094a6dace"/>
            <w:r>
              <w:rPr>
                <w:rFonts w:hint="default" w:ascii="Times New Roman" w:hAnsi="Times New Roman" w:cs="Times New Roman"/>
                <w:b w:val="0"/>
                <w:bCs w:val="0"/>
                <w:color w:val="auto"/>
                <w:sz w:val="24"/>
                <w:szCs w:val="24"/>
                <w:highlight w:val="none"/>
                <w:lang w:val="en-US" w:eastAsia="zh-CN"/>
              </w:rPr>
              <w:t>板链</w:t>
            </w:r>
            <w:bookmarkEnd w:id="77"/>
            <w:r>
              <w:rPr>
                <w:rFonts w:hint="default" w:ascii="Times New Roman" w:hAnsi="Times New Roman" w:cs="Times New Roman"/>
                <w:b w:val="0"/>
                <w:bCs w:val="0"/>
                <w:color w:val="auto"/>
                <w:sz w:val="24"/>
                <w:szCs w:val="24"/>
                <w:highlight w:val="none"/>
                <w:lang w:val="en-US" w:eastAsia="zh-CN"/>
              </w:rPr>
              <w:t>除渣机输送至自卸车运至场内灰渣</w:t>
            </w:r>
            <w:bookmarkStart w:id="78" w:name="hmcheck_2c3bcd31d3e84a4a8ac6b61962152a73"/>
            <w:r>
              <w:rPr>
                <w:rFonts w:hint="default" w:ascii="Times New Roman" w:hAnsi="Times New Roman" w:cs="Times New Roman"/>
                <w:b w:val="0"/>
                <w:bCs w:val="0"/>
                <w:color w:val="auto"/>
                <w:sz w:val="24"/>
                <w:szCs w:val="24"/>
                <w:highlight w:val="none"/>
                <w:lang w:val="en-US" w:eastAsia="zh-CN"/>
              </w:rPr>
              <w:t>库</w:t>
            </w:r>
            <w:bookmarkEnd w:id="78"/>
            <w:r>
              <w:rPr>
                <w:rFonts w:hint="default" w:ascii="Times New Roman" w:hAnsi="Times New Roman" w:cs="Times New Roman"/>
                <w:b w:val="0"/>
                <w:bCs w:val="0"/>
                <w:color w:val="auto"/>
                <w:sz w:val="24"/>
                <w:szCs w:val="24"/>
                <w:highlight w:val="none"/>
                <w:lang w:val="en-US" w:eastAsia="zh-CN"/>
              </w:rPr>
              <w:t>，封装在封闭的塑料袋内。除尘器灰斗内的烟灰</w:t>
            </w:r>
            <w:bookmarkStart w:id="79" w:name="hmcheck_445ef8b134a3400d9478726f3beff181"/>
            <w:r>
              <w:rPr>
                <w:rFonts w:hint="default" w:ascii="Times New Roman" w:hAnsi="Times New Roman" w:cs="Times New Roman"/>
                <w:b w:val="0"/>
                <w:bCs w:val="0"/>
                <w:color w:val="auto"/>
                <w:sz w:val="24"/>
                <w:szCs w:val="24"/>
                <w:highlight w:val="none"/>
                <w:lang w:val="en-US" w:eastAsia="zh-CN"/>
              </w:rPr>
              <w:t>经框链</w:t>
            </w:r>
            <w:bookmarkEnd w:id="79"/>
            <w:r>
              <w:rPr>
                <w:rFonts w:hint="default" w:ascii="Times New Roman" w:hAnsi="Times New Roman" w:cs="Times New Roman"/>
                <w:b w:val="0"/>
                <w:bCs w:val="0"/>
                <w:color w:val="auto"/>
                <w:sz w:val="24"/>
                <w:szCs w:val="24"/>
                <w:highlight w:val="none"/>
                <w:lang w:val="en-US" w:eastAsia="zh-CN"/>
              </w:rPr>
              <w:t>除灰机运至灰渣沉降池内，与灰渣共同处理。</w:t>
            </w:r>
            <w:r>
              <w:rPr>
                <w:rFonts w:hint="default" w:ascii="Times New Roman" w:hAnsi="Times New Roman" w:cs="Times New Roman"/>
                <w:color w:val="auto"/>
                <w:sz w:val="24"/>
                <w:szCs w:val="24"/>
                <w:highlight w:val="none"/>
                <w:lang w:val="en-US" w:eastAsia="zh-CN"/>
              </w:rPr>
              <w:t>灰渣</w:t>
            </w:r>
            <w:r>
              <w:rPr>
                <w:rFonts w:hint="default" w:ascii="Times New Roman" w:hAnsi="Times New Roman" w:cs="Times New Roman"/>
                <w:b w:val="0"/>
                <w:bCs w:val="0"/>
                <w:color w:val="auto"/>
                <w:sz w:val="24"/>
                <w:szCs w:val="24"/>
                <w:highlight w:val="none"/>
                <w:lang w:val="en-US" w:eastAsia="zh-CN"/>
              </w:rPr>
              <w:t>、飞灰</w:t>
            </w:r>
            <w:r>
              <w:rPr>
                <w:rFonts w:hint="default" w:ascii="Times New Roman" w:hAnsi="Times New Roman" w:cs="Times New Roman"/>
                <w:color w:val="auto"/>
                <w:sz w:val="24"/>
                <w:szCs w:val="24"/>
                <w:highlight w:val="none"/>
                <w:lang w:val="en-US" w:eastAsia="zh-CN"/>
              </w:rPr>
              <w:t>经灰渣池加水降温搅拌后封存在封闭的塑料袋内，然后贮存在灰渣库内，定期清运，可作为</w:t>
            </w:r>
            <w:bookmarkStart w:id="80" w:name="hmcheck_38a87f5079b845c7b548c04c0af11b79"/>
            <w:r>
              <w:rPr>
                <w:rFonts w:hint="default" w:ascii="Times New Roman" w:hAnsi="Times New Roman" w:cs="Times New Roman"/>
                <w:color w:val="auto"/>
                <w:sz w:val="24"/>
                <w:szCs w:val="24"/>
                <w:highlight w:val="none"/>
                <w:lang w:val="en-US" w:eastAsia="zh-CN"/>
              </w:rPr>
              <w:t>灰肥外售</w:t>
            </w:r>
            <w:bookmarkEnd w:id="80"/>
            <w:r>
              <w:rPr>
                <w:rFonts w:hint="default" w:ascii="Times New Roman" w:hAnsi="Times New Roman" w:cs="Times New Roman"/>
                <w:color w:val="auto"/>
                <w:sz w:val="24"/>
                <w:szCs w:val="24"/>
                <w:highlight w:val="none"/>
                <w:lang w:val="en-US" w:eastAsia="zh-CN"/>
              </w:rPr>
              <w:t>附近农户还田使用；脱硫副产物（石膏）经脱水后在灰渣</w:t>
            </w:r>
            <w:bookmarkStart w:id="81" w:name="hmcheck_9f338d7b3e834006915f81c4eb30d61e"/>
            <w:r>
              <w:rPr>
                <w:rFonts w:hint="default" w:ascii="Times New Roman" w:hAnsi="Times New Roman" w:cs="Times New Roman"/>
                <w:color w:val="auto"/>
                <w:sz w:val="24"/>
                <w:szCs w:val="24"/>
                <w:highlight w:val="none"/>
                <w:lang w:val="en-US" w:eastAsia="zh-CN"/>
              </w:rPr>
              <w:t>库</w:t>
            </w:r>
            <w:bookmarkEnd w:id="81"/>
            <w:r>
              <w:rPr>
                <w:rFonts w:hint="default" w:ascii="Times New Roman" w:hAnsi="Times New Roman" w:cs="Times New Roman"/>
                <w:color w:val="auto"/>
                <w:sz w:val="24"/>
                <w:szCs w:val="24"/>
                <w:highlight w:val="none"/>
                <w:lang w:val="en-US" w:eastAsia="zh-CN"/>
              </w:rPr>
              <w:t>覆盖堆存，可作为建材原料定期清运、综合利用，不能利用的，</w:t>
            </w:r>
            <w:bookmarkStart w:id="82" w:name="hmcheck_d736a990d3c84a63973ef359250ea8dd"/>
            <w:r>
              <w:rPr>
                <w:rFonts w:hint="default" w:ascii="Times New Roman" w:hAnsi="Times New Roman" w:cs="Times New Roman"/>
                <w:color w:val="auto"/>
                <w:sz w:val="24"/>
                <w:szCs w:val="24"/>
                <w:highlight w:val="none"/>
                <w:lang w:val="en-US" w:eastAsia="zh-CN"/>
              </w:rPr>
              <w:t>送</w:t>
            </w:r>
            <w:bookmarkEnd w:id="82"/>
            <w:r>
              <w:rPr>
                <w:rFonts w:hint="default" w:ascii="Times New Roman" w:hAnsi="Times New Roman" w:cs="Times New Roman"/>
                <w:color w:val="auto"/>
                <w:sz w:val="24"/>
                <w:szCs w:val="24"/>
                <w:highlight w:val="none"/>
                <w:lang w:val="en-US" w:eastAsia="zh-CN"/>
              </w:rPr>
              <w:t>固废填埋场处理，</w:t>
            </w:r>
            <w:r>
              <w:rPr>
                <w:rFonts w:hint="default" w:ascii="Times New Roman" w:hAnsi="Times New Roman" w:cs="Times New Roman"/>
                <w:color w:val="auto"/>
                <w:sz w:val="24"/>
                <w:szCs w:val="24"/>
                <w:highlight w:val="none"/>
                <w:lang w:eastAsia="zh-CN"/>
              </w:rPr>
              <w:t>运营期间锅炉产生的</w:t>
            </w:r>
            <w:r>
              <w:rPr>
                <w:rFonts w:hint="default" w:ascii="Times New Roman" w:hAnsi="Times New Roman" w:cs="Times New Roman"/>
                <w:color w:val="auto"/>
                <w:sz w:val="24"/>
                <w:szCs w:val="24"/>
                <w:highlight w:val="none"/>
                <w:lang w:val="en-US" w:eastAsia="zh-CN"/>
              </w:rPr>
              <w:t>灰</w:t>
            </w:r>
            <w:r>
              <w:rPr>
                <w:rFonts w:hint="default" w:ascii="Times New Roman" w:hAnsi="Times New Roman" w:cs="Times New Roman"/>
                <w:color w:val="auto"/>
                <w:sz w:val="24"/>
                <w:szCs w:val="24"/>
                <w:highlight w:val="none"/>
                <w:lang w:eastAsia="zh-CN"/>
              </w:rPr>
              <w:t>渣、</w:t>
            </w:r>
            <w:r>
              <w:rPr>
                <w:rFonts w:hint="default" w:ascii="Times New Roman" w:hAnsi="Times New Roman" w:cs="Times New Roman"/>
                <w:color w:val="auto"/>
                <w:sz w:val="24"/>
                <w:szCs w:val="24"/>
                <w:highlight w:val="none"/>
                <w:lang w:val="en-US" w:eastAsia="zh-CN"/>
              </w:rPr>
              <w:t>烟</w:t>
            </w:r>
            <w:r>
              <w:rPr>
                <w:rFonts w:hint="default" w:ascii="Times New Roman" w:hAnsi="Times New Roman" w:cs="Times New Roman"/>
                <w:color w:val="auto"/>
                <w:sz w:val="24"/>
                <w:szCs w:val="24"/>
                <w:highlight w:val="none"/>
                <w:lang w:eastAsia="zh-CN"/>
              </w:rPr>
              <w:t>灰、脱硫渣对周边环境影响较小</w:t>
            </w:r>
            <w:r>
              <w:rPr>
                <w:rFonts w:hint="default" w:ascii="Times New Roman" w:hAnsi="Times New Roman" w:cs="Times New Roman"/>
                <w:color w:val="auto"/>
                <w:sz w:val="24"/>
                <w:szCs w:val="24"/>
                <w:highlight w:val="none"/>
                <w:lang w:val="en-US" w:eastAsia="zh-CN"/>
              </w:rPr>
              <w:t>。</w:t>
            </w:r>
          </w:p>
          <w:p w14:paraId="698B5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灰渣经灰渣池加水降温搅拌后封存在封闭的塑料袋内，然后贮存在灰渣库内，灰渣库建设标准应满足《一般工业固体废物贮存和填埋污染控制标准》（GB18599-2020）相关要求，对灰渣库进行分区、硬化并做防渗处理。</w:t>
            </w:r>
          </w:p>
          <w:p w14:paraId="0F235EAE">
            <w:pPr>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eastAsia="zh-CN"/>
              </w:rPr>
              <w:t>除尘器</w:t>
            </w:r>
            <w:r>
              <w:rPr>
                <w:rFonts w:hint="default" w:ascii="Times New Roman" w:hAnsi="Times New Roman" w:cs="Times New Roman"/>
                <w:color w:val="auto"/>
                <w:sz w:val="24"/>
                <w:szCs w:val="24"/>
                <w:highlight w:val="none"/>
              </w:rPr>
              <w:t>收集的</w:t>
            </w:r>
            <w:r>
              <w:rPr>
                <w:rFonts w:hint="eastAsia" w:cs="Times New Roman"/>
                <w:color w:val="auto"/>
                <w:sz w:val="24"/>
                <w:szCs w:val="24"/>
                <w:highlight w:val="none"/>
                <w:lang w:val="en-US" w:eastAsia="zh-CN"/>
              </w:rPr>
              <w:t>粉尘</w:t>
            </w:r>
          </w:p>
          <w:p w14:paraId="2C3B6712">
            <w:pPr>
              <w:spacing w:line="360" w:lineRule="auto"/>
              <w:ind w:firstLine="480" w:firstLineChars="200"/>
              <w:rPr>
                <w:color w:val="auto"/>
                <w:highlight w:val="none"/>
              </w:rPr>
            </w:pPr>
            <w:r>
              <w:rPr>
                <w:rFonts w:hint="default" w:ascii="Times New Roman" w:hAnsi="Times New Roman" w:cs="Times New Roman"/>
                <w:color w:val="auto"/>
                <w:sz w:val="24"/>
                <w:szCs w:val="24"/>
                <w:highlight w:val="none"/>
                <w:lang w:eastAsia="zh-CN"/>
              </w:rPr>
              <w:t>陶瓷多管</w:t>
            </w:r>
            <w:r>
              <w:rPr>
                <w:rFonts w:hint="eastAsia" w:cs="Times New Roman"/>
                <w:color w:val="auto"/>
                <w:sz w:val="24"/>
                <w:szCs w:val="24"/>
                <w:highlight w:val="none"/>
                <w:lang w:val="en-US" w:eastAsia="zh-CN"/>
              </w:rPr>
              <w:t>+布袋除尘器</w:t>
            </w:r>
            <w:r>
              <w:rPr>
                <w:rFonts w:hint="default" w:ascii="Times New Roman" w:hAnsi="Times New Roman" w:cs="Times New Roman"/>
                <w:color w:val="auto"/>
                <w:sz w:val="24"/>
                <w:szCs w:val="24"/>
                <w:highlight w:val="none"/>
              </w:rPr>
              <w:t>收集的</w:t>
            </w:r>
            <w:r>
              <w:rPr>
                <w:rFonts w:hint="eastAsia" w:cs="Times New Roman"/>
                <w:color w:val="auto"/>
                <w:sz w:val="24"/>
                <w:szCs w:val="24"/>
                <w:highlight w:val="none"/>
                <w:lang w:val="en-US" w:eastAsia="zh-CN"/>
              </w:rPr>
              <w:t>粉尘</w:t>
            </w:r>
            <w:r>
              <w:rPr>
                <w:rFonts w:hint="default" w:ascii="Times New Roman" w:hAnsi="Times New Roman" w:cs="Times New Roman"/>
                <w:color w:val="auto"/>
                <w:sz w:val="24"/>
                <w:szCs w:val="24"/>
                <w:highlight w:val="none"/>
              </w:rPr>
              <w:t>量</w:t>
            </w:r>
            <w:r>
              <w:rPr>
                <w:rFonts w:hint="default" w:ascii="Times New Roman" w:hAnsi="Times New Roman" w:cs="Times New Roman"/>
                <w:color w:val="auto"/>
                <w:sz w:val="24"/>
                <w:szCs w:val="24"/>
                <w:highlight w:val="none"/>
                <w:lang w:val="en-US" w:eastAsia="zh-CN"/>
              </w:rPr>
              <w:t>约</w:t>
            </w:r>
            <w:r>
              <w:rPr>
                <w:rFonts w:hint="default" w:ascii="Times New Roman" w:hAnsi="Times New Roman" w:cs="Times New Roman"/>
                <w:color w:val="auto"/>
                <w:sz w:val="24"/>
                <w:szCs w:val="24"/>
                <w:highlight w:val="none"/>
              </w:rPr>
              <w:t>为</w:t>
            </w:r>
            <w:r>
              <w:rPr>
                <w:rFonts w:hint="eastAsia" w:cs="Times New Roman"/>
                <w:color w:val="auto"/>
                <w:sz w:val="24"/>
                <w:szCs w:val="24"/>
                <w:highlight w:val="none"/>
                <w:lang w:val="en-US" w:eastAsia="zh-CN"/>
              </w:rPr>
              <w:t>1.998</w:t>
            </w:r>
            <w:r>
              <w:rPr>
                <w:rFonts w:hint="default" w:ascii="Times New Roman" w:hAnsi="Times New Roman" w:cs="Times New Roman"/>
                <w:color w:val="auto"/>
                <w:sz w:val="24"/>
                <w:szCs w:val="24"/>
                <w:highlight w:val="none"/>
              </w:rPr>
              <w:t>t/a，这部分</w:t>
            </w:r>
            <w:r>
              <w:rPr>
                <w:rFonts w:hint="eastAsia" w:cs="Times New Roman"/>
                <w:color w:val="auto"/>
                <w:sz w:val="24"/>
                <w:szCs w:val="24"/>
                <w:highlight w:val="none"/>
                <w:lang w:val="en-US" w:eastAsia="zh-CN"/>
              </w:rPr>
              <w:t>粉尘</w:t>
            </w:r>
            <w:r>
              <w:rPr>
                <w:rFonts w:hint="default" w:ascii="Times New Roman" w:hAnsi="Times New Roman" w:cs="Times New Roman"/>
                <w:color w:val="auto"/>
                <w:sz w:val="24"/>
                <w:szCs w:val="24"/>
                <w:highlight w:val="none"/>
                <w:lang w:eastAsia="zh-CN"/>
              </w:rPr>
              <w:t>掺水</w:t>
            </w:r>
            <w:r>
              <w:rPr>
                <w:rFonts w:hint="default" w:ascii="Times New Roman" w:hAnsi="Times New Roman" w:cs="Times New Roman"/>
                <w:color w:val="auto"/>
                <w:sz w:val="24"/>
                <w:szCs w:val="24"/>
                <w:highlight w:val="none"/>
              </w:rPr>
              <w:t>拌湿后</w:t>
            </w:r>
            <w:r>
              <w:rPr>
                <w:rFonts w:hint="default" w:ascii="Times New Roman" w:hAnsi="Times New Roman" w:cs="Times New Roman"/>
                <w:color w:val="auto"/>
                <w:sz w:val="24"/>
                <w:szCs w:val="24"/>
                <w:highlight w:val="none"/>
                <w:lang w:val="en-US" w:eastAsia="zh-CN"/>
              </w:rPr>
              <w:t>封存在封闭的塑料袋内，然后</w:t>
            </w:r>
            <w:r>
              <w:rPr>
                <w:rFonts w:hint="default" w:ascii="Times New Roman" w:hAnsi="Times New Roman" w:cs="Times New Roman"/>
                <w:color w:val="auto"/>
                <w:sz w:val="24"/>
                <w:szCs w:val="24"/>
                <w:highlight w:val="none"/>
              </w:rPr>
              <w:t>在灰渣库内</w:t>
            </w:r>
            <w:r>
              <w:rPr>
                <w:rFonts w:hint="default" w:ascii="Times New Roman" w:hAnsi="Times New Roman" w:cs="Times New Roman"/>
                <w:color w:val="auto"/>
                <w:sz w:val="24"/>
                <w:szCs w:val="24"/>
                <w:highlight w:val="none"/>
                <w:lang w:val="en-US" w:eastAsia="zh-CN"/>
              </w:rPr>
              <w:t>暂存</w:t>
            </w:r>
            <w:r>
              <w:rPr>
                <w:rFonts w:hint="default" w:ascii="Times New Roman" w:hAnsi="Times New Roman" w:cs="Times New Roman"/>
                <w:color w:val="auto"/>
                <w:sz w:val="24"/>
                <w:szCs w:val="24"/>
                <w:highlight w:val="none"/>
              </w:rPr>
              <w:t>，定期</w:t>
            </w:r>
            <w:bookmarkStart w:id="83" w:name="hmcheck_d9e49029e5a043c5a97e97693caae180"/>
            <w:r>
              <w:rPr>
                <w:rFonts w:hint="default" w:ascii="Times New Roman" w:hAnsi="Times New Roman" w:cs="Times New Roman"/>
                <w:color w:val="auto"/>
                <w:sz w:val="24"/>
                <w:szCs w:val="24"/>
                <w:highlight w:val="none"/>
              </w:rPr>
              <w:t>外</w:t>
            </w:r>
            <w:bookmarkEnd w:id="83"/>
            <w:r>
              <w:rPr>
                <w:rFonts w:hint="default" w:ascii="Times New Roman" w:hAnsi="Times New Roman" w:cs="Times New Roman"/>
                <w:color w:val="auto"/>
                <w:sz w:val="24"/>
                <w:szCs w:val="24"/>
                <w:highlight w:val="none"/>
              </w:rPr>
              <w:t>售予建筑材料生产企业作为原料。</w:t>
            </w:r>
          </w:p>
          <w:p w14:paraId="73F2970C">
            <w:pPr>
              <w:keepNext w:val="0"/>
              <w:keepLines w:val="0"/>
              <w:pageBreakBefore w:val="0"/>
              <w:shd w:val="clear" w:color="auto" w:fill="auto"/>
              <w:kinsoku/>
              <w:topLinePunct w:val="0"/>
              <w:autoSpaceDE w:val="0"/>
              <w:autoSpaceDN w:val="0"/>
              <w:bidi w:val="0"/>
              <w:adjustRightInd w:val="0"/>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4</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生物质燃料及脱硫剂等</w:t>
            </w:r>
            <w:r>
              <w:rPr>
                <w:rFonts w:hint="default" w:ascii="Times New Roman" w:hAnsi="Times New Roman" w:eastAsia="宋体" w:cs="Times New Roman"/>
                <w:color w:val="auto"/>
                <w:kern w:val="0"/>
                <w:sz w:val="24"/>
                <w:highlight w:val="none"/>
              </w:rPr>
              <w:t>废包装袋</w:t>
            </w:r>
          </w:p>
          <w:p w14:paraId="4EEFDEF0">
            <w:pPr>
              <w:spacing w:line="360" w:lineRule="auto"/>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rPr>
              <w:t>项目</w:t>
            </w:r>
            <w:r>
              <w:rPr>
                <w:rFonts w:hint="eastAsia" w:cs="Times New Roman"/>
                <w:color w:val="auto"/>
                <w:kern w:val="0"/>
                <w:sz w:val="24"/>
                <w:highlight w:val="none"/>
                <w:lang w:val="en-US" w:eastAsia="zh-CN"/>
              </w:rPr>
              <w:t>生物质燃料及脱硫剂</w:t>
            </w:r>
            <w:r>
              <w:rPr>
                <w:rFonts w:hint="default" w:ascii="Times New Roman" w:hAnsi="Times New Roman" w:eastAsia="宋体" w:cs="Times New Roman"/>
                <w:color w:val="auto"/>
                <w:kern w:val="0"/>
                <w:sz w:val="24"/>
                <w:highlight w:val="none"/>
              </w:rPr>
              <w:t>为袋装，会产生废包装袋，产生量约为</w:t>
            </w:r>
            <w:r>
              <w:rPr>
                <w:rFonts w:hint="eastAsia" w:cs="Times New Roman"/>
                <w:color w:val="auto"/>
                <w:kern w:val="0"/>
                <w:sz w:val="24"/>
                <w:highlight w:val="none"/>
                <w:lang w:val="en-US" w:eastAsia="zh-CN"/>
              </w:rPr>
              <w:t>0</w:t>
            </w:r>
            <w:r>
              <w:rPr>
                <w:rFonts w:hint="default" w:ascii="Times New Roman" w:hAnsi="Times New Roman" w:eastAsia="宋体" w:cs="Times New Roman"/>
                <w:color w:val="auto"/>
                <w:kern w:val="0"/>
                <w:sz w:val="24"/>
                <w:highlight w:val="none"/>
              </w:rPr>
              <w:t>.5</w:t>
            </w:r>
            <w:r>
              <w:rPr>
                <w:rFonts w:hint="default" w:ascii="Times New Roman" w:hAnsi="Times New Roman" w:eastAsia="宋体" w:cs="Times New Roman"/>
                <w:color w:val="auto"/>
                <w:kern w:val="0"/>
                <w:sz w:val="24"/>
                <w:highlight w:val="none"/>
                <w:lang w:eastAsia="zh-CN"/>
              </w:rPr>
              <w:t>t/a</w:t>
            </w:r>
            <w:r>
              <w:rPr>
                <w:rFonts w:hint="default" w:ascii="Times New Roman" w:hAnsi="Times New Roman" w:eastAsia="宋体" w:cs="Times New Roman"/>
                <w:color w:val="auto"/>
                <w:kern w:val="0"/>
                <w:sz w:val="24"/>
                <w:highlight w:val="none"/>
              </w:rPr>
              <w:t>，集中收集后</w:t>
            </w:r>
            <w:r>
              <w:rPr>
                <w:rFonts w:hint="default" w:ascii="Times New Roman" w:hAnsi="Times New Roman" w:cs="Times New Roman"/>
                <w:color w:val="auto"/>
                <w:kern w:val="0"/>
                <w:sz w:val="24"/>
                <w:highlight w:val="none"/>
                <w:lang w:eastAsia="zh-CN"/>
              </w:rPr>
              <w:t>外售当地</w:t>
            </w:r>
            <w:r>
              <w:rPr>
                <w:rFonts w:hint="default" w:ascii="Times New Roman" w:hAnsi="Times New Roman" w:eastAsia="宋体" w:cs="Times New Roman"/>
                <w:color w:val="auto"/>
                <w:kern w:val="0"/>
                <w:sz w:val="24"/>
                <w:highlight w:val="none"/>
                <w:lang w:eastAsia="zh-CN"/>
              </w:rPr>
              <w:t>废品回收站。</w:t>
            </w:r>
          </w:p>
          <w:p w14:paraId="25557FDA">
            <w:pPr>
              <w:spacing w:line="360" w:lineRule="auto"/>
              <w:ind w:firstLine="480" w:firstLineChars="200"/>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（5）废布袋</w:t>
            </w:r>
          </w:p>
          <w:p w14:paraId="7F08BD6A">
            <w:pPr>
              <w:spacing w:line="360" w:lineRule="auto"/>
              <w:ind w:firstLine="480" w:firstLineChars="200"/>
              <w:rPr>
                <w:rFonts w:hint="default"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val="en-US" w:eastAsia="zh-CN"/>
              </w:rPr>
              <w:t>布袋除尘器定期由厂家检修更换，产生的废布袋约为0.2</w:t>
            </w:r>
            <w:r>
              <w:rPr>
                <w:rFonts w:hint="default" w:ascii="Times New Roman" w:hAnsi="Times New Roman" w:eastAsia="宋体" w:cs="Times New Roman"/>
                <w:color w:val="auto"/>
                <w:kern w:val="0"/>
                <w:sz w:val="24"/>
                <w:highlight w:val="none"/>
                <w:lang w:eastAsia="zh-CN"/>
              </w:rPr>
              <w:t>t/a</w:t>
            </w:r>
            <w:r>
              <w:rPr>
                <w:rFonts w:hint="eastAsia" w:ascii="Times New Roman" w:hAnsi="Times New Roman" w:eastAsia="宋体" w:cs="Times New Roman"/>
                <w:color w:val="auto"/>
                <w:kern w:val="0"/>
                <w:sz w:val="24"/>
                <w:highlight w:val="none"/>
                <w:lang w:val="en-US" w:eastAsia="zh-CN"/>
              </w:rPr>
              <w:t>，由设备厂家回收处理。</w:t>
            </w:r>
          </w:p>
          <w:p w14:paraId="264F4E68">
            <w:pPr>
              <w:spacing w:line="360" w:lineRule="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4.1</w:t>
            </w:r>
            <w:r>
              <w:rPr>
                <w:rFonts w:hint="default" w:ascii="Times New Roman" w:hAnsi="Times New Roman" w:eastAsia="宋体" w:cs="Times New Roman"/>
                <w:b/>
                <w:bCs w:val="0"/>
                <w:color w:val="auto"/>
                <w:sz w:val="24"/>
                <w:szCs w:val="24"/>
                <w:highlight w:val="none"/>
                <w:lang w:val="en-US" w:eastAsia="zh-CN"/>
              </w:rPr>
              <w:t>.3、危险废物</w:t>
            </w:r>
          </w:p>
          <w:p w14:paraId="59902D5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根据《国家危险废物名录》（20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年版）中规定，本项目生产设备定期更换的废机油、擦拭机械设备产生的含油抹布、机油废包装桶属于危险废物。</w:t>
            </w:r>
          </w:p>
          <w:p w14:paraId="7552773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项目危险废物识别见表</w:t>
            </w:r>
            <w:r>
              <w:rPr>
                <w:rFonts w:hint="default"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w:t>
            </w:r>
          </w:p>
          <w:p w14:paraId="3F522B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12</w:t>
            </w:r>
            <w:r>
              <w:rPr>
                <w:rFonts w:hint="default" w:ascii="Times New Roman" w:hAnsi="Times New Roman" w:cs="Times New Roman"/>
                <w:b/>
                <w:bCs/>
                <w:color w:val="auto"/>
                <w:highlight w:val="none"/>
                <w:lang w:val="en-US" w:eastAsia="zh-CN"/>
              </w:rPr>
              <w:t xml:space="preserve">   项目危险废物识别表</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
              <w:gridCol w:w="936"/>
              <w:gridCol w:w="1096"/>
              <w:gridCol w:w="1126"/>
              <w:gridCol w:w="1273"/>
              <w:gridCol w:w="2147"/>
              <w:gridCol w:w="1154"/>
            </w:tblGrid>
            <w:tr w14:paraId="267B9B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noWrap w:val="0"/>
                  <w:vAlign w:val="center"/>
                </w:tcPr>
                <w:p w14:paraId="730E479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936" w:type="dxa"/>
                  <w:vMerge w:val="restart"/>
                  <w:noWrap w:val="0"/>
                  <w:vAlign w:val="center"/>
                </w:tcPr>
                <w:p w14:paraId="23190E9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危险废物名称</w:t>
                  </w:r>
                </w:p>
              </w:tc>
              <w:tc>
                <w:tcPr>
                  <w:tcW w:w="6796" w:type="dxa"/>
                  <w:gridSpan w:val="5"/>
                  <w:noWrap w:val="0"/>
                  <w:vAlign w:val="center"/>
                </w:tcPr>
                <w:p w14:paraId="1B85B78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《国家危险废物名录》（20</w:t>
                  </w:r>
                  <w:r>
                    <w:rPr>
                      <w:rFonts w:hint="default" w:ascii="Times New Roman" w:hAnsi="Times New Roman" w:cs="Times New Roman"/>
                      <w:b w:val="0"/>
                      <w:bCs w:val="0"/>
                      <w:color w:val="auto"/>
                      <w:sz w:val="21"/>
                      <w:szCs w:val="21"/>
                      <w:highlight w:val="none"/>
                      <w:lang w:val="en-US" w:eastAsia="zh-CN"/>
                    </w:rPr>
                    <w:t>25</w:t>
                  </w:r>
                  <w:r>
                    <w:rPr>
                      <w:rFonts w:hint="default" w:ascii="Times New Roman" w:hAnsi="Times New Roman" w:cs="Times New Roman"/>
                      <w:b w:val="0"/>
                      <w:bCs w:val="0"/>
                      <w:color w:val="auto"/>
                      <w:sz w:val="21"/>
                      <w:szCs w:val="21"/>
                      <w:highlight w:val="none"/>
                    </w:rPr>
                    <w:t>年版）中规定</w:t>
                  </w:r>
                </w:p>
              </w:tc>
            </w:tr>
            <w:tr w14:paraId="18DB3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tcBorders>
                    <w:bottom w:val="single" w:color="auto" w:sz="12" w:space="0"/>
                  </w:tcBorders>
                  <w:noWrap w:val="0"/>
                  <w:vAlign w:val="center"/>
                </w:tcPr>
                <w:p w14:paraId="0C91FC15">
                  <w:pPr>
                    <w:pStyle w:val="35"/>
                    <w:bidi w:val="0"/>
                    <w:rPr>
                      <w:rFonts w:hint="default" w:ascii="Times New Roman" w:hAnsi="Times New Roman" w:cs="Times New Roman"/>
                      <w:b w:val="0"/>
                      <w:bCs w:val="0"/>
                      <w:color w:val="auto"/>
                      <w:sz w:val="21"/>
                      <w:szCs w:val="21"/>
                      <w:highlight w:val="none"/>
                    </w:rPr>
                  </w:pPr>
                </w:p>
              </w:tc>
              <w:tc>
                <w:tcPr>
                  <w:tcW w:w="936" w:type="dxa"/>
                  <w:vMerge w:val="continue"/>
                  <w:tcBorders>
                    <w:bottom w:val="single" w:color="auto" w:sz="12" w:space="0"/>
                  </w:tcBorders>
                  <w:noWrap w:val="0"/>
                  <w:vAlign w:val="center"/>
                </w:tcPr>
                <w:p w14:paraId="3BDFEC43">
                  <w:pPr>
                    <w:pStyle w:val="35"/>
                    <w:bidi w:val="0"/>
                    <w:rPr>
                      <w:rFonts w:hint="default" w:ascii="Times New Roman" w:hAnsi="Times New Roman" w:cs="Times New Roman"/>
                      <w:b w:val="0"/>
                      <w:bCs w:val="0"/>
                      <w:color w:val="auto"/>
                      <w:sz w:val="21"/>
                      <w:szCs w:val="21"/>
                      <w:highlight w:val="none"/>
                    </w:rPr>
                  </w:pPr>
                </w:p>
              </w:tc>
              <w:tc>
                <w:tcPr>
                  <w:tcW w:w="1096" w:type="dxa"/>
                  <w:tcBorders>
                    <w:bottom w:val="single" w:color="auto" w:sz="12" w:space="0"/>
                  </w:tcBorders>
                  <w:noWrap w:val="0"/>
                  <w:vAlign w:val="center"/>
                </w:tcPr>
                <w:p w14:paraId="3A95F1B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废物类别</w:t>
                  </w:r>
                </w:p>
              </w:tc>
              <w:tc>
                <w:tcPr>
                  <w:tcW w:w="1126" w:type="dxa"/>
                  <w:tcBorders>
                    <w:bottom w:val="single" w:color="auto" w:sz="12" w:space="0"/>
                  </w:tcBorders>
                  <w:noWrap w:val="0"/>
                  <w:vAlign w:val="center"/>
                </w:tcPr>
                <w:p w14:paraId="7A94EEC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行业来源</w:t>
                  </w:r>
                </w:p>
              </w:tc>
              <w:tc>
                <w:tcPr>
                  <w:tcW w:w="1273" w:type="dxa"/>
                  <w:tcBorders>
                    <w:bottom w:val="single" w:color="auto" w:sz="12" w:space="0"/>
                  </w:tcBorders>
                  <w:noWrap w:val="0"/>
                  <w:vAlign w:val="center"/>
                </w:tcPr>
                <w:p w14:paraId="044337C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废物代码</w:t>
                  </w:r>
                </w:p>
              </w:tc>
              <w:tc>
                <w:tcPr>
                  <w:tcW w:w="2147" w:type="dxa"/>
                  <w:tcBorders>
                    <w:bottom w:val="single" w:color="auto" w:sz="12" w:space="0"/>
                  </w:tcBorders>
                  <w:noWrap w:val="0"/>
                  <w:vAlign w:val="center"/>
                </w:tcPr>
                <w:p w14:paraId="535DE6A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危险废物</w:t>
                  </w:r>
                </w:p>
              </w:tc>
              <w:tc>
                <w:tcPr>
                  <w:tcW w:w="1154" w:type="dxa"/>
                  <w:tcBorders>
                    <w:bottom w:val="single" w:color="auto" w:sz="12" w:space="0"/>
                  </w:tcBorders>
                  <w:noWrap w:val="0"/>
                  <w:vAlign w:val="center"/>
                </w:tcPr>
                <w:p w14:paraId="078556B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危险特性</w:t>
                  </w:r>
                </w:p>
              </w:tc>
            </w:tr>
            <w:tr w14:paraId="060036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tcBorders>
                    <w:top w:val="single" w:color="auto" w:sz="12" w:space="0"/>
                  </w:tcBorders>
                  <w:noWrap w:val="0"/>
                  <w:vAlign w:val="center"/>
                </w:tcPr>
                <w:p w14:paraId="485F373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w:t>
                  </w:r>
                </w:p>
              </w:tc>
              <w:tc>
                <w:tcPr>
                  <w:tcW w:w="936" w:type="dxa"/>
                  <w:tcBorders>
                    <w:top w:val="single" w:color="auto" w:sz="12" w:space="0"/>
                  </w:tcBorders>
                  <w:noWrap w:val="0"/>
                  <w:vAlign w:val="center"/>
                </w:tcPr>
                <w:p w14:paraId="556D98A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废机油</w:t>
                  </w:r>
                </w:p>
              </w:tc>
              <w:tc>
                <w:tcPr>
                  <w:tcW w:w="1096" w:type="dxa"/>
                  <w:tcBorders>
                    <w:top w:val="single" w:color="auto" w:sz="12" w:space="0"/>
                  </w:tcBorders>
                  <w:noWrap w:val="0"/>
                  <w:vAlign w:val="center"/>
                </w:tcPr>
                <w:p w14:paraId="28BB16B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HW08废矿物油与含矿废物</w:t>
                  </w:r>
                </w:p>
              </w:tc>
              <w:tc>
                <w:tcPr>
                  <w:tcW w:w="1126" w:type="dxa"/>
                  <w:tcBorders>
                    <w:top w:val="single" w:color="auto" w:sz="12" w:space="0"/>
                  </w:tcBorders>
                  <w:noWrap w:val="0"/>
                  <w:vAlign w:val="center"/>
                </w:tcPr>
                <w:p w14:paraId="20F2D8C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非特定行业</w:t>
                  </w:r>
                </w:p>
              </w:tc>
              <w:tc>
                <w:tcPr>
                  <w:tcW w:w="1273" w:type="dxa"/>
                  <w:tcBorders>
                    <w:top w:val="single" w:color="auto" w:sz="12" w:space="0"/>
                  </w:tcBorders>
                  <w:noWrap w:val="0"/>
                  <w:vAlign w:val="center"/>
                </w:tcPr>
                <w:p w14:paraId="0E56A2A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900-217-08</w:t>
                  </w:r>
                </w:p>
              </w:tc>
              <w:tc>
                <w:tcPr>
                  <w:tcW w:w="2147" w:type="dxa"/>
                  <w:tcBorders>
                    <w:top w:val="single" w:color="auto" w:sz="12" w:space="0"/>
                  </w:tcBorders>
                  <w:noWrap w:val="0"/>
                  <w:vAlign w:val="center"/>
                </w:tcPr>
                <w:p w14:paraId="6C62677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使用工业齿轮油进行机械设备润滑过程中产生的废润滑油</w:t>
                  </w:r>
                </w:p>
              </w:tc>
              <w:tc>
                <w:tcPr>
                  <w:tcW w:w="1154" w:type="dxa"/>
                  <w:tcBorders>
                    <w:top w:val="single" w:color="auto" w:sz="12" w:space="0"/>
                  </w:tcBorders>
                  <w:noWrap w:val="0"/>
                  <w:vAlign w:val="center"/>
                </w:tcPr>
                <w:p w14:paraId="6CDB4A0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T，I</w:t>
                  </w:r>
                </w:p>
              </w:tc>
            </w:tr>
            <w:tr w14:paraId="2456A6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noWrap w:val="0"/>
                  <w:vAlign w:val="center"/>
                </w:tcPr>
                <w:p w14:paraId="4B2F62D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w:t>
                  </w:r>
                </w:p>
              </w:tc>
              <w:tc>
                <w:tcPr>
                  <w:tcW w:w="936" w:type="dxa"/>
                  <w:noWrap w:val="0"/>
                  <w:vAlign w:val="center"/>
                </w:tcPr>
                <w:p w14:paraId="5FABF6E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废油桶</w:t>
                  </w:r>
                </w:p>
              </w:tc>
              <w:tc>
                <w:tcPr>
                  <w:tcW w:w="1096" w:type="dxa"/>
                  <w:noWrap w:val="0"/>
                  <w:vAlign w:val="center"/>
                </w:tcPr>
                <w:p w14:paraId="3F35237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HW08废矿物油与含矿废物</w:t>
                  </w:r>
                </w:p>
              </w:tc>
              <w:tc>
                <w:tcPr>
                  <w:tcW w:w="1126" w:type="dxa"/>
                  <w:noWrap w:val="0"/>
                  <w:vAlign w:val="center"/>
                </w:tcPr>
                <w:p w14:paraId="5F043E4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非特定行业</w:t>
                  </w:r>
                </w:p>
              </w:tc>
              <w:tc>
                <w:tcPr>
                  <w:tcW w:w="1273" w:type="dxa"/>
                  <w:noWrap w:val="0"/>
                  <w:vAlign w:val="center"/>
                </w:tcPr>
                <w:p w14:paraId="0243BDD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900-249-08</w:t>
                  </w:r>
                </w:p>
              </w:tc>
              <w:tc>
                <w:tcPr>
                  <w:tcW w:w="2147" w:type="dxa"/>
                  <w:noWrap w:val="0"/>
                  <w:vAlign w:val="center"/>
                </w:tcPr>
                <w:p w14:paraId="34C63E0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其他生产、销售、使用过程中产生的废矿物油及沾染矿物油的废弃包装物</w:t>
                  </w:r>
                </w:p>
              </w:tc>
              <w:tc>
                <w:tcPr>
                  <w:tcW w:w="1154" w:type="dxa"/>
                  <w:noWrap w:val="0"/>
                  <w:vAlign w:val="center"/>
                </w:tcPr>
                <w:p w14:paraId="4B3848D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T，I</w:t>
                  </w:r>
                </w:p>
              </w:tc>
            </w:tr>
            <w:tr w14:paraId="263E74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noWrap w:val="0"/>
                  <w:vAlign w:val="center"/>
                </w:tcPr>
                <w:p w14:paraId="05998B5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w:t>
                  </w:r>
                </w:p>
              </w:tc>
              <w:tc>
                <w:tcPr>
                  <w:tcW w:w="936" w:type="dxa"/>
                  <w:noWrap w:val="0"/>
                  <w:vAlign w:val="center"/>
                </w:tcPr>
                <w:p w14:paraId="2C40B09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含油抹布</w:t>
                  </w:r>
                </w:p>
              </w:tc>
              <w:tc>
                <w:tcPr>
                  <w:tcW w:w="1096" w:type="dxa"/>
                  <w:noWrap w:val="0"/>
                  <w:vAlign w:val="center"/>
                </w:tcPr>
                <w:p w14:paraId="16AADBD0">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HW49其他废物</w:t>
                  </w:r>
                </w:p>
              </w:tc>
              <w:tc>
                <w:tcPr>
                  <w:tcW w:w="1126" w:type="dxa"/>
                  <w:noWrap w:val="0"/>
                  <w:vAlign w:val="center"/>
                </w:tcPr>
                <w:p w14:paraId="46E55EDB">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非特定行业</w:t>
                  </w:r>
                </w:p>
              </w:tc>
              <w:tc>
                <w:tcPr>
                  <w:tcW w:w="1273" w:type="dxa"/>
                  <w:noWrap w:val="0"/>
                  <w:vAlign w:val="center"/>
                </w:tcPr>
                <w:p w14:paraId="5DFA4FD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900-041-49</w:t>
                  </w:r>
                </w:p>
              </w:tc>
              <w:tc>
                <w:tcPr>
                  <w:tcW w:w="2147" w:type="dxa"/>
                  <w:noWrap w:val="0"/>
                  <w:vAlign w:val="center"/>
                </w:tcPr>
                <w:p w14:paraId="4972FD4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含有或者沾染毒性、感染性危险废物的废弃的包装物、容器、过滤吸附介质</w:t>
                  </w:r>
                </w:p>
              </w:tc>
              <w:tc>
                <w:tcPr>
                  <w:tcW w:w="1154" w:type="dxa"/>
                  <w:noWrap w:val="0"/>
                  <w:vAlign w:val="center"/>
                </w:tcPr>
                <w:p w14:paraId="4E1D4B33">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T/In</w:t>
                  </w:r>
                </w:p>
              </w:tc>
            </w:tr>
          </w:tbl>
          <w:p w14:paraId="2327057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（1）含油抹布</w:t>
            </w:r>
          </w:p>
          <w:p w14:paraId="6C8EF4F4">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在设备检修保养以会产生少量含油抹布，产生量约为0.05t/a，含油抹布为危险废物，根据《危险废物豁免管理清单》可知，混入生活垃圾的含油抹布全过程不按危险废物管理。</w:t>
            </w:r>
            <w:r>
              <w:rPr>
                <w:rFonts w:hint="default" w:ascii="Times New Roman" w:hAnsi="Times New Roman" w:cs="Times New Roman"/>
                <w:color w:val="auto"/>
                <w:sz w:val="24"/>
                <w:szCs w:val="24"/>
                <w:highlight w:val="none"/>
                <w:lang w:val="en-US" w:eastAsia="zh-CN"/>
              </w:rPr>
              <w:t>本项目产生的</w:t>
            </w:r>
            <w:r>
              <w:rPr>
                <w:rFonts w:hint="default" w:ascii="Times New Roman" w:hAnsi="Times New Roman" w:eastAsia="宋体" w:cs="Times New Roman"/>
                <w:color w:val="auto"/>
                <w:sz w:val="24"/>
                <w:szCs w:val="24"/>
                <w:highlight w:val="none"/>
              </w:rPr>
              <w:t>含油抹布随生活垃圾送至垃圾填埋场卫生填埋。</w:t>
            </w:r>
          </w:p>
          <w:p w14:paraId="57A1170C">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（2）废机油、废油桶等</w:t>
            </w:r>
          </w:p>
          <w:p w14:paraId="072D1101">
            <w:pPr>
              <w:pStyle w:val="48"/>
              <w:keepNext w:val="0"/>
              <w:keepLines w:val="0"/>
              <w:pageBreakBefore w:val="0"/>
              <w:shd w:val="clear" w:color="auto" w:fill="auto"/>
              <w:kinsoku/>
              <w:topLinePunct w:val="0"/>
              <w:bidi w:val="0"/>
              <w:adjustRightInd w:val="0"/>
              <w:snapToGrid w:val="0"/>
              <w:spacing w:line="360" w:lineRule="auto"/>
              <w:textAlignment w:val="auto"/>
              <w:rPr>
                <w:rFonts w:hint="eastAsia" w:ascii="Times New Roman" w:hAnsi="Times New Roman" w:cs="Times New Roman"/>
                <w:color w:val="auto"/>
                <w:kern w:val="0"/>
                <w:sz w:val="24"/>
                <w:highlight w:val="none"/>
                <w:lang w:eastAsia="zh-CN"/>
              </w:rPr>
            </w:pPr>
            <w:r>
              <w:rPr>
                <w:color w:val="auto"/>
                <w:spacing w:val="-4"/>
                <w:highlight w:val="none"/>
              </w:rPr>
              <w:t>项目设备保养维修过程会产生废机油，</w:t>
            </w:r>
            <w:r>
              <w:rPr>
                <w:rFonts w:hint="eastAsia" w:ascii="Times New Roman" w:hAnsi="Times New Roman" w:cs="Times New Roman"/>
                <w:color w:val="auto"/>
                <w:kern w:val="0"/>
                <w:sz w:val="24"/>
                <w:highlight w:val="none"/>
                <w:lang w:eastAsia="zh-CN"/>
              </w:rPr>
              <w:t>本项目年产废机油约为0.</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eastAsia="zh-CN"/>
              </w:rPr>
              <w:t>吨/年。根据《国家危险废物名录》（202</w:t>
            </w:r>
            <w:r>
              <w:rPr>
                <w:rFonts w:hint="eastAsia" w:ascii="Times New Roman" w:hAnsi="Times New Roman" w:cs="Times New Roman"/>
                <w:color w:val="auto"/>
                <w:kern w:val="0"/>
                <w:sz w:val="24"/>
                <w:highlight w:val="none"/>
                <w:lang w:val="en-US" w:eastAsia="zh-CN"/>
              </w:rPr>
              <w:t>5</w:t>
            </w:r>
            <w:r>
              <w:rPr>
                <w:rFonts w:hint="eastAsia" w:ascii="Times New Roman" w:hAnsi="Times New Roman" w:cs="Times New Roman"/>
                <w:color w:val="auto"/>
                <w:kern w:val="0"/>
                <w:sz w:val="24"/>
                <w:highlight w:val="none"/>
                <w:lang w:eastAsia="zh-CN"/>
              </w:rPr>
              <w:t>版），废机油属于危险废物（HW08，900-217-08），收集后交由有资质单位处置。</w:t>
            </w:r>
          </w:p>
          <w:p w14:paraId="0095C5F8">
            <w:pPr>
              <w:spacing w:line="360" w:lineRule="auto"/>
              <w:ind w:firstLine="480" w:firstLineChars="200"/>
              <w:rPr>
                <w:rFonts w:hint="default" w:ascii="Times New Roman" w:hAnsi="Times New Roman" w:eastAsia="宋体" w:cs="Times New Roman"/>
                <w:bCs/>
                <w:color w:val="auto"/>
                <w:kern w:val="0"/>
                <w:sz w:val="24"/>
                <w:szCs w:val="20"/>
                <w:highlight w:val="none"/>
                <w:lang w:val="en-US" w:eastAsia="zh-CN"/>
              </w:rPr>
            </w:pPr>
            <w:r>
              <w:rPr>
                <w:rFonts w:hint="eastAsia" w:ascii="Times New Roman" w:hAnsi="Times New Roman" w:cs="Times New Roman"/>
                <w:color w:val="auto"/>
                <w:kern w:val="0"/>
                <w:sz w:val="24"/>
                <w:highlight w:val="none"/>
                <w:lang w:eastAsia="zh-CN"/>
              </w:rPr>
              <w:t>废机油桶产生量按每个废机油桶20千克计，废机油桶规格为200千克/桶，废机油桶使用量为</w:t>
            </w:r>
            <w:r>
              <w:rPr>
                <w:rFonts w:hint="eastAsia" w:cs="Times New Roman"/>
                <w:color w:val="auto"/>
                <w:kern w:val="0"/>
                <w:sz w:val="24"/>
                <w:highlight w:val="none"/>
                <w:lang w:val="en-US" w:eastAsia="zh-CN"/>
              </w:rPr>
              <w:t>1</w:t>
            </w:r>
            <w:r>
              <w:rPr>
                <w:rFonts w:hint="eastAsia" w:ascii="Times New Roman" w:hAnsi="Times New Roman" w:cs="Times New Roman"/>
                <w:color w:val="auto"/>
                <w:kern w:val="0"/>
                <w:sz w:val="24"/>
                <w:highlight w:val="none"/>
                <w:lang w:eastAsia="zh-CN"/>
              </w:rPr>
              <w:t>个，则废机油桶产生量约为0.0</w:t>
            </w:r>
            <w:r>
              <w:rPr>
                <w:rFonts w:hint="eastAsia"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eastAsia="zh-CN"/>
              </w:rPr>
              <w:t>吨/年。属于《国家危险废物名录（202</w:t>
            </w:r>
            <w:r>
              <w:rPr>
                <w:rFonts w:hint="eastAsia" w:ascii="Times New Roman" w:hAnsi="Times New Roman" w:cs="Times New Roman"/>
                <w:color w:val="auto"/>
                <w:kern w:val="0"/>
                <w:sz w:val="24"/>
                <w:highlight w:val="none"/>
                <w:lang w:val="en-US" w:eastAsia="zh-CN"/>
              </w:rPr>
              <w:t>5</w:t>
            </w:r>
            <w:r>
              <w:rPr>
                <w:rFonts w:hint="eastAsia" w:ascii="Times New Roman" w:hAnsi="Times New Roman" w:cs="Times New Roman"/>
                <w:color w:val="auto"/>
                <w:kern w:val="0"/>
                <w:sz w:val="24"/>
                <w:highlight w:val="none"/>
                <w:lang w:eastAsia="zh-CN"/>
              </w:rPr>
              <w:t>年版）》中HW08其他废物，废物代码：900-249-08，</w:t>
            </w:r>
            <w:r>
              <w:rPr>
                <w:rFonts w:hint="eastAsia" w:cs="Times New Roman"/>
                <w:color w:val="auto"/>
                <w:kern w:val="0"/>
                <w:sz w:val="24"/>
                <w:highlight w:val="none"/>
                <w:lang w:val="en-US" w:eastAsia="zh-CN"/>
              </w:rPr>
              <w:t>收</w:t>
            </w:r>
            <w:r>
              <w:rPr>
                <w:rFonts w:hint="eastAsia" w:ascii="Times New Roman" w:hAnsi="Times New Roman" w:cs="Times New Roman"/>
                <w:color w:val="auto"/>
                <w:kern w:val="0"/>
                <w:sz w:val="24"/>
                <w:highlight w:val="none"/>
                <w:lang w:eastAsia="zh-CN"/>
              </w:rPr>
              <w:t>集后暂存于危废暂存间内，定期委托有资质单位进行处置</w:t>
            </w:r>
            <w:r>
              <w:rPr>
                <w:rFonts w:hint="default" w:ascii="Times New Roman" w:hAnsi="Times New Roman" w:eastAsia="宋体" w:cs="Times New Roman"/>
                <w:color w:val="auto"/>
                <w:sz w:val="24"/>
                <w:szCs w:val="24"/>
                <w:highlight w:val="none"/>
              </w:rPr>
              <w:t>。</w:t>
            </w:r>
          </w:p>
          <w:p w14:paraId="796BFF4B">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 xml:space="preserve">1.4 </w:t>
            </w:r>
            <w:r>
              <w:rPr>
                <w:rFonts w:hint="default" w:ascii="Times New Roman" w:hAnsi="Times New Roman" w:eastAsia="宋体" w:cs="Times New Roman"/>
                <w:b/>
                <w:bCs/>
                <w:color w:val="auto"/>
                <w:sz w:val="24"/>
                <w:szCs w:val="24"/>
                <w:highlight w:val="none"/>
              </w:rPr>
              <w:t>固体废物污染源源</w:t>
            </w:r>
            <w:bookmarkStart w:id="84" w:name="hmcheck_8bcc70be581a479297ceebd86fdb4845"/>
            <w:r>
              <w:rPr>
                <w:rFonts w:hint="default" w:ascii="Times New Roman" w:hAnsi="Times New Roman" w:eastAsia="宋体" w:cs="Times New Roman"/>
                <w:b/>
                <w:bCs/>
                <w:color w:val="auto"/>
                <w:sz w:val="24"/>
                <w:szCs w:val="24"/>
                <w:highlight w:val="none"/>
              </w:rPr>
              <w:t>强</w:t>
            </w:r>
            <w:bookmarkEnd w:id="84"/>
            <w:r>
              <w:rPr>
                <w:rFonts w:hint="default" w:ascii="Times New Roman" w:hAnsi="Times New Roman" w:eastAsia="宋体" w:cs="Times New Roman"/>
                <w:b/>
                <w:bCs/>
                <w:color w:val="auto"/>
                <w:sz w:val="24"/>
                <w:szCs w:val="24"/>
                <w:highlight w:val="none"/>
              </w:rPr>
              <w:t>汇总</w:t>
            </w:r>
          </w:p>
          <w:p w14:paraId="25C8696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综上，对本项目产生的各类固体废物进行汇总，具体如下表。</w:t>
            </w:r>
          </w:p>
          <w:p w14:paraId="20B626DF">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13</w:t>
            </w:r>
            <w:r>
              <w:rPr>
                <w:rFonts w:hint="default" w:ascii="Times New Roman" w:hAnsi="Times New Roman" w:cs="Times New Roman"/>
                <w:b/>
                <w:bCs/>
                <w:color w:val="auto"/>
                <w:highlight w:val="none"/>
                <w:lang w:val="en-US" w:eastAsia="zh-CN"/>
              </w:rPr>
              <w:t xml:space="preserve">   固体废物污染源汇总情况一览表</w:t>
            </w:r>
          </w:p>
          <w:tbl>
            <w:tblPr>
              <w:tblStyle w:val="19"/>
              <w:tblW w:w="800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4"/>
              <w:gridCol w:w="1331"/>
              <w:gridCol w:w="1331"/>
              <w:gridCol w:w="1816"/>
              <w:gridCol w:w="1175"/>
            </w:tblGrid>
            <w:tr w14:paraId="47DEA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68117D6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名称</w:t>
                  </w:r>
                </w:p>
              </w:tc>
              <w:tc>
                <w:tcPr>
                  <w:tcW w:w="1174" w:type="dxa"/>
                  <w:noWrap w:val="0"/>
                  <w:vAlign w:val="center"/>
                </w:tcPr>
                <w:p w14:paraId="7FFA853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属性</w:t>
                  </w:r>
                </w:p>
              </w:tc>
              <w:tc>
                <w:tcPr>
                  <w:tcW w:w="1331" w:type="dxa"/>
                  <w:noWrap w:val="0"/>
                  <w:vAlign w:val="center"/>
                </w:tcPr>
                <w:p w14:paraId="3959C8F7">
                  <w:pPr>
                    <w:pStyle w:val="35"/>
                    <w:bidi w:val="0"/>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代码</w:t>
                  </w:r>
                </w:p>
              </w:tc>
              <w:tc>
                <w:tcPr>
                  <w:tcW w:w="1331" w:type="dxa"/>
                  <w:noWrap w:val="0"/>
                  <w:vAlign w:val="center"/>
                </w:tcPr>
                <w:p w14:paraId="5C889A0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产生量（t/a）</w:t>
                  </w:r>
                </w:p>
              </w:tc>
              <w:tc>
                <w:tcPr>
                  <w:tcW w:w="1816" w:type="dxa"/>
                  <w:noWrap w:val="0"/>
                  <w:vAlign w:val="center"/>
                </w:tcPr>
                <w:p w14:paraId="794F57B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处置措施</w:t>
                  </w:r>
                </w:p>
              </w:tc>
              <w:tc>
                <w:tcPr>
                  <w:tcW w:w="1175" w:type="dxa"/>
                  <w:noWrap w:val="0"/>
                  <w:vAlign w:val="center"/>
                </w:tcPr>
                <w:p w14:paraId="6D86A14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最终去向</w:t>
                  </w:r>
                </w:p>
              </w:tc>
            </w:tr>
            <w:tr w14:paraId="13240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tcBorders>
                    <w:top w:val="single" w:color="auto" w:sz="12" w:space="0"/>
                  </w:tcBorders>
                  <w:noWrap w:val="0"/>
                  <w:vAlign w:val="center"/>
                </w:tcPr>
                <w:p w14:paraId="667472C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生活垃圾</w:t>
                  </w:r>
                </w:p>
              </w:tc>
              <w:tc>
                <w:tcPr>
                  <w:tcW w:w="1174" w:type="dxa"/>
                  <w:tcBorders>
                    <w:top w:val="single" w:color="auto" w:sz="12" w:space="0"/>
                  </w:tcBorders>
                  <w:noWrap w:val="0"/>
                  <w:vAlign w:val="center"/>
                </w:tcPr>
                <w:p w14:paraId="69B07E5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生活垃圾</w:t>
                  </w:r>
                </w:p>
              </w:tc>
              <w:tc>
                <w:tcPr>
                  <w:tcW w:w="1331" w:type="dxa"/>
                  <w:tcBorders>
                    <w:top w:val="single" w:color="auto" w:sz="12" w:space="0"/>
                  </w:tcBorders>
                  <w:noWrap w:val="0"/>
                  <w:vAlign w:val="center"/>
                </w:tcPr>
                <w:p w14:paraId="796FB98D">
                  <w:pPr>
                    <w:pStyle w:val="35"/>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900-002-S64</w:t>
                  </w:r>
                </w:p>
              </w:tc>
              <w:tc>
                <w:tcPr>
                  <w:tcW w:w="1331" w:type="dxa"/>
                  <w:tcBorders>
                    <w:top w:val="single" w:color="auto" w:sz="12" w:space="0"/>
                  </w:tcBorders>
                  <w:noWrap w:val="0"/>
                  <w:vAlign w:val="center"/>
                </w:tcPr>
                <w:p w14:paraId="2C87AD8F">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0.9</w:t>
                  </w:r>
                </w:p>
              </w:tc>
              <w:tc>
                <w:tcPr>
                  <w:tcW w:w="1816" w:type="dxa"/>
                  <w:tcBorders>
                    <w:top w:val="single" w:color="auto" w:sz="12" w:space="0"/>
                  </w:tcBorders>
                  <w:noWrap w:val="0"/>
                  <w:vAlign w:val="center"/>
                </w:tcPr>
                <w:p w14:paraId="35AC5F3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环卫部门清运</w:t>
                  </w:r>
                </w:p>
              </w:tc>
              <w:tc>
                <w:tcPr>
                  <w:tcW w:w="1175" w:type="dxa"/>
                  <w:tcBorders>
                    <w:top w:val="single" w:color="auto" w:sz="12" w:space="0"/>
                  </w:tcBorders>
                  <w:noWrap w:val="0"/>
                  <w:vAlign w:val="center"/>
                </w:tcPr>
                <w:p w14:paraId="2DAC7CA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卫生填埋</w:t>
                  </w:r>
                </w:p>
              </w:tc>
            </w:tr>
            <w:tr w14:paraId="6D8B6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584B1A89">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杂质</w:t>
                  </w:r>
                </w:p>
              </w:tc>
              <w:tc>
                <w:tcPr>
                  <w:tcW w:w="1174" w:type="dxa"/>
                  <w:vMerge w:val="restart"/>
                  <w:noWrap w:val="0"/>
                  <w:vAlign w:val="center"/>
                </w:tcPr>
                <w:p w14:paraId="1198DBE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一般固体废物</w:t>
                  </w:r>
                </w:p>
              </w:tc>
              <w:tc>
                <w:tcPr>
                  <w:tcW w:w="1331" w:type="dxa"/>
                  <w:noWrap w:val="0"/>
                  <w:vAlign w:val="center"/>
                </w:tcPr>
                <w:p w14:paraId="61F8E71D">
                  <w:pPr>
                    <w:pStyle w:val="35"/>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900-999-S59</w:t>
                  </w:r>
                </w:p>
              </w:tc>
              <w:tc>
                <w:tcPr>
                  <w:tcW w:w="1331" w:type="dxa"/>
                  <w:noWrap w:val="0"/>
                  <w:vAlign w:val="center"/>
                </w:tcPr>
                <w:p w14:paraId="45A3E6EB">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120</w:t>
                  </w:r>
                </w:p>
              </w:tc>
              <w:tc>
                <w:tcPr>
                  <w:tcW w:w="1816" w:type="dxa"/>
                  <w:noWrap w:val="0"/>
                  <w:vAlign w:val="center"/>
                </w:tcPr>
                <w:p w14:paraId="19C6B463">
                  <w:pPr>
                    <w:pStyle w:val="35"/>
                    <w:bidi w:val="0"/>
                    <w:rPr>
                      <w:rFonts w:hint="default" w:ascii="Times New Roman" w:hAnsi="Times New Roman" w:cs="Times New Roman"/>
                      <w:b w:val="0"/>
                      <w:bCs w:val="0"/>
                      <w:color w:val="auto"/>
                      <w:sz w:val="21"/>
                      <w:szCs w:val="21"/>
                      <w:highlight w:val="none"/>
                      <w:lang w:val="en-US" w:eastAsia="zh-CN"/>
                    </w:rPr>
                  </w:pPr>
                  <w:bookmarkStart w:id="85" w:name="hmcheck_a74bdf5390644ae99796f125ab20b4d1"/>
                  <w:r>
                    <w:rPr>
                      <w:rFonts w:hint="default" w:ascii="Times New Roman" w:hAnsi="Times New Roman" w:cs="Times New Roman"/>
                      <w:b w:val="0"/>
                      <w:bCs w:val="0"/>
                      <w:color w:val="auto"/>
                      <w:sz w:val="21"/>
                      <w:szCs w:val="21"/>
                      <w:highlight w:val="none"/>
                      <w:lang w:val="en-US" w:eastAsia="zh-CN"/>
                    </w:rPr>
                    <w:t>外售</w:t>
                  </w:r>
                  <w:bookmarkEnd w:id="85"/>
                  <w:r>
                    <w:rPr>
                      <w:rFonts w:hint="default" w:ascii="Times New Roman" w:hAnsi="Times New Roman" w:cs="Times New Roman"/>
                      <w:b w:val="0"/>
                      <w:bCs w:val="0"/>
                      <w:color w:val="auto"/>
                      <w:sz w:val="21"/>
                      <w:szCs w:val="21"/>
                      <w:highlight w:val="none"/>
                      <w:lang w:val="en-US" w:eastAsia="zh-CN"/>
                    </w:rPr>
                    <w:t>农户堆肥</w:t>
                  </w:r>
                </w:p>
              </w:tc>
              <w:tc>
                <w:tcPr>
                  <w:tcW w:w="1175" w:type="dxa"/>
                  <w:noWrap w:val="0"/>
                  <w:vAlign w:val="center"/>
                </w:tcPr>
                <w:p w14:paraId="38249C0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综合利用</w:t>
                  </w:r>
                </w:p>
              </w:tc>
            </w:tr>
            <w:tr w14:paraId="2831F0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63F2658A">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炉渣</w:t>
                  </w:r>
                </w:p>
              </w:tc>
              <w:tc>
                <w:tcPr>
                  <w:tcW w:w="1174" w:type="dxa"/>
                  <w:vMerge w:val="continue"/>
                  <w:noWrap w:val="0"/>
                  <w:vAlign w:val="center"/>
                </w:tcPr>
                <w:p w14:paraId="3897C605">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1CB57D5F">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900-099-S03</w:t>
                  </w:r>
                </w:p>
              </w:tc>
              <w:tc>
                <w:tcPr>
                  <w:tcW w:w="1331" w:type="dxa"/>
                  <w:shd w:val="clear" w:color="auto" w:fill="auto"/>
                  <w:noWrap w:val="0"/>
                  <w:vAlign w:val="center"/>
                </w:tcPr>
                <w:p w14:paraId="189CC5FE">
                  <w:pPr>
                    <w:pStyle w:val="35"/>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205.69</w:t>
                  </w:r>
                </w:p>
              </w:tc>
              <w:tc>
                <w:tcPr>
                  <w:tcW w:w="1816" w:type="dxa"/>
                  <w:noWrap w:val="0"/>
                  <w:vAlign w:val="center"/>
                </w:tcPr>
                <w:p w14:paraId="5208B809">
                  <w:pPr>
                    <w:pStyle w:val="35"/>
                    <w:bidi w:val="0"/>
                    <w:rPr>
                      <w:rFonts w:hint="default" w:ascii="Times New Roman" w:hAnsi="Times New Roman" w:cs="Times New Roman"/>
                      <w:b w:val="0"/>
                      <w:bCs w:val="0"/>
                      <w:color w:val="auto"/>
                      <w:sz w:val="21"/>
                      <w:szCs w:val="21"/>
                      <w:highlight w:val="none"/>
                      <w:lang w:val="en-US" w:eastAsia="zh-CN"/>
                    </w:rPr>
                  </w:pPr>
                  <w:bookmarkStart w:id="86" w:name="hmcheck_075adac138bf46f1a7779668afd5f4f8"/>
                  <w:r>
                    <w:rPr>
                      <w:rFonts w:hint="default" w:ascii="Times New Roman" w:hAnsi="Times New Roman" w:cs="Times New Roman"/>
                      <w:b w:val="0"/>
                      <w:bCs w:val="0"/>
                      <w:color w:val="auto"/>
                      <w:sz w:val="21"/>
                      <w:szCs w:val="21"/>
                      <w:highlight w:val="none"/>
                      <w:lang w:val="en-US" w:eastAsia="zh-CN"/>
                    </w:rPr>
                    <w:t>外售</w:t>
                  </w:r>
                  <w:bookmarkEnd w:id="86"/>
                  <w:r>
                    <w:rPr>
                      <w:rFonts w:hint="default" w:ascii="Times New Roman" w:hAnsi="Times New Roman" w:cs="Times New Roman"/>
                      <w:b w:val="0"/>
                      <w:bCs w:val="0"/>
                      <w:color w:val="auto"/>
                      <w:sz w:val="21"/>
                      <w:szCs w:val="21"/>
                      <w:highlight w:val="none"/>
                      <w:lang w:val="en-US" w:eastAsia="zh-CN"/>
                    </w:rPr>
                    <w:t>农户作为灰肥还田</w:t>
                  </w:r>
                </w:p>
              </w:tc>
              <w:tc>
                <w:tcPr>
                  <w:tcW w:w="1175" w:type="dxa"/>
                  <w:noWrap w:val="0"/>
                  <w:vAlign w:val="center"/>
                </w:tcPr>
                <w:p w14:paraId="30467F8D">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综合利用</w:t>
                  </w:r>
                </w:p>
              </w:tc>
            </w:tr>
            <w:tr w14:paraId="538CD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699F0E4D">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除尘器收集的</w:t>
                  </w:r>
                  <w:r>
                    <w:rPr>
                      <w:rFonts w:hint="eastAsia" w:ascii="Times New Roman" w:hAnsi="Times New Roman" w:cs="Times New Roman"/>
                      <w:b w:val="0"/>
                      <w:bCs w:val="0"/>
                      <w:color w:val="auto"/>
                      <w:sz w:val="21"/>
                      <w:szCs w:val="21"/>
                      <w:highlight w:val="none"/>
                      <w:lang w:val="en-US" w:eastAsia="zh-CN"/>
                    </w:rPr>
                    <w:t>粉尘</w:t>
                  </w:r>
                </w:p>
              </w:tc>
              <w:tc>
                <w:tcPr>
                  <w:tcW w:w="1174" w:type="dxa"/>
                  <w:vMerge w:val="continue"/>
                  <w:noWrap w:val="0"/>
                  <w:vAlign w:val="center"/>
                </w:tcPr>
                <w:p w14:paraId="26C1F5FB">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44C229B3">
                  <w:pPr>
                    <w:pStyle w:val="35"/>
                    <w:bidi w:val="0"/>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900-999-S59</w:t>
                  </w:r>
                </w:p>
              </w:tc>
              <w:tc>
                <w:tcPr>
                  <w:tcW w:w="1331" w:type="dxa"/>
                  <w:shd w:val="clear" w:color="auto" w:fill="auto"/>
                  <w:noWrap w:val="0"/>
                  <w:vAlign w:val="center"/>
                </w:tcPr>
                <w:p w14:paraId="063C6B6E">
                  <w:pPr>
                    <w:pStyle w:val="35"/>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1.998</w:t>
                  </w:r>
                </w:p>
              </w:tc>
              <w:tc>
                <w:tcPr>
                  <w:tcW w:w="1816" w:type="dxa"/>
                  <w:noWrap w:val="0"/>
                  <w:vAlign w:val="center"/>
                </w:tcPr>
                <w:p w14:paraId="38B2516C">
                  <w:pPr>
                    <w:pStyle w:val="35"/>
                    <w:bidi w:val="0"/>
                    <w:rPr>
                      <w:rFonts w:hint="default" w:ascii="Times New Roman" w:hAnsi="Times New Roman" w:cs="Times New Roman"/>
                      <w:b w:val="0"/>
                      <w:bCs w:val="0"/>
                      <w:color w:val="auto"/>
                      <w:sz w:val="21"/>
                      <w:szCs w:val="21"/>
                      <w:highlight w:val="none"/>
                      <w:lang w:val="en-US" w:eastAsia="zh-CN"/>
                    </w:rPr>
                  </w:pPr>
                  <w:bookmarkStart w:id="87" w:name="hmcheck_5f624bb4a508469a9a93930c37af65ce"/>
                  <w:r>
                    <w:rPr>
                      <w:rFonts w:hint="default" w:ascii="Times New Roman" w:hAnsi="Times New Roman" w:cs="Times New Roman"/>
                      <w:b w:val="0"/>
                      <w:bCs w:val="0"/>
                      <w:color w:val="auto"/>
                      <w:sz w:val="21"/>
                      <w:szCs w:val="21"/>
                      <w:highlight w:val="none"/>
                      <w:lang w:val="en-US" w:eastAsia="zh-CN"/>
                    </w:rPr>
                    <w:t>外售</w:t>
                  </w:r>
                  <w:bookmarkEnd w:id="87"/>
                  <w:r>
                    <w:rPr>
                      <w:rFonts w:hint="default" w:ascii="Times New Roman" w:hAnsi="Times New Roman" w:cs="Times New Roman"/>
                      <w:b w:val="0"/>
                      <w:bCs w:val="0"/>
                      <w:color w:val="auto"/>
                      <w:sz w:val="21"/>
                      <w:szCs w:val="21"/>
                      <w:highlight w:val="none"/>
                      <w:lang w:val="en-US" w:eastAsia="zh-CN"/>
                    </w:rPr>
                    <w:t>建材企业作为原料</w:t>
                  </w:r>
                </w:p>
              </w:tc>
              <w:tc>
                <w:tcPr>
                  <w:tcW w:w="1175" w:type="dxa"/>
                  <w:noWrap w:val="0"/>
                  <w:vAlign w:val="center"/>
                </w:tcPr>
                <w:p w14:paraId="424D4597">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综合利用</w:t>
                  </w:r>
                </w:p>
              </w:tc>
            </w:tr>
            <w:tr w14:paraId="10A689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06F27199">
                  <w:pPr>
                    <w:pStyle w:val="35"/>
                    <w:bidi w:val="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废包装袋</w:t>
                  </w:r>
                </w:p>
              </w:tc>
              <w:tc>
                <w:tcPr>
                  <w:tcW w:w="1174" w:type="dxa"/>
                  <w:vMerge w:val="continue"/>
                  <w:noWrap w:val="0"/>
                  <w:vAlign w:val="center"/>
                </w:tcPr>
                <w:p w14:paraId="03843D6C">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5EA0E820">
                  <w:pPr>
                    <w:pStyle w:val="35"/>
                    <w:bidi w:val="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900-999-S59</w:t>
                  </w:r>
                </w:p>
              </w:tc>
              <w:tc>
                <w:tcPr>
                  <w:tcW w:w="1331" w:type="dxa"/>
                  <w:shd w:val="clear" w:color="auto" w:fill="auto"/>
                  <w:noWrap w:val="0"/>
                  <w:vAlign w:val="center"/>
                </w:tcPr>
                <w:p w14:paraId="7D528216">
                  <w:pPr>
                    <w:pStyle w:val="35"/>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0.5</w:t>
                  </w:r>
                </w:p>
              </w:tc>
              <w:tc>
                <w:tcPr>
                  <w:tcW w:w="1816" w:type="dxa"/>
                  <w:noWrap w:val="0"/>
                  <w:vAlign w:val="center"/>
                </w:tcPr>
                <w:p w14:paraId="3C2042CF">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外售当地废品回收站</w:t>
                  </w:r>
                </w:p>
              </w:tc>
              <w:tc>
                <w:tcPr>
                  <w:tcW w:w="1175" w:type="dxa"/>
                  <w:noWrap w:val="0"/>
                  <w:vAlign w:val="center"/>
                </w:tcPr>
                <w:p w14:paraId="4597F27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综合利用</w:t>
                  </w:r>
                </w:p>
              </w:tc>
            </w:tr>
            <w:tr w14:paraId="3BE3CD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07F3B18C">
                  <w:pPr>
                    <w:pStyle w:val="35"/>
                    <w:bidi w:val="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废布袋</w:t>
                  </w:r>
                </w:p>
              </w:tc>
              <w:tc>
                <w:tcPr>
                  <w:tcW w:w="1174" w:type="dxa"/>
                  <w:vMerge w:val="continue"/>
                  <w:noWrap w:val="0"/>
                  <w:vAlign w:val="center"/>
                </w:tcPr>
                <w:p w14:paraId="4DC20979">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2E81F89B">
                  <w:pPr>
                    <w:pStyle w:val="35"/>
                    <w:bidi w:val="0"/>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900-009-S59</w:t>
                  </w:r>
                </w:p>
              </w:tc>
              <w:tc>
                <w:tcPr>
                  <w:tcW w:w="1331" w:type="dxa"/>
                  <w:shd w:val="clear" w:color="auto" w:fill="auto"/>
                  <w:noWrap w:val="0"/>
                  <w:vAlign w:val="center"/>
                </w:tcPr>
                <w:p w14:paraId="16664FEA">
                  <w:pPr>
                    <w:pStyle w:val="35"/>
                    <w:bidi w:val="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0.2</w:t>
                  </w:r>
                </w:p>
              </w:tc>
              <w:tc>
                <w:tcPr>
                  <w:tcW w:w="1816" w:type="dxa"/>
                  <w:noWrap w:val="0"/>
                  <w:vAlign w:val="center"/>
                </w:tcPr>
                <w:p w14:paraId="3DF6ACD8">
                  <w:pPr>
                    <w:pStyle w:val="35"/>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设备厂家回收处理</w:t>
                  </w:r>
                </w:p>
              </w:tc>
              <w:tc>
                <w:tcPr>
                  <w:tcW w:w="1175" w:type="dxa"/>
                  <w:noWrap w:val="0"/>
                  <w:vAlign w:val="center"/>
                </w:tcPr>
                <w:p w14:paraId="33BC7AB0">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综合利用</w:t>
                  </w:r>
                </w:p>
              </w:tc>
            </w:tr>
            <w:tr w14:paraId="36AC8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53D7661D">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脱硫石膏</w:t>
                  </w:r>
                </w:p>
              </w:tc>
              <w:tc>
                <w:tcPr>
                  <w:tcW w:w="1174" w:type="dxa"/>
                  <w:vMerge w:val="continue"/>
                  <w:noWrap w:val="0"/>
                  <w:vAlign w:val="center"/>
                </w:tcPr>
                <w:p w14:paraId="4FF59464">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7922804D">
                  <w:pPr>
                    <w:pStyle w:val="35"/>
                    <w:bidi w:val="0"/>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900-099-S06</w:t>
                  </w:r>
                </w:p>
              </w:tc>
              <w:tc>
                <w:tcPr>
                  <w:tcW w:w="1331" w:type="dxa"/>
                  <w:shd w:val="clear" w:color="auto" w:fill="auto"/>
                  <w:noWrap w:val="0"/>
                  <w:vAlign w:val="center"/>
                </w:tcPr>
                <w:p w14:paraId="10DEDDB9">
                  <w:pPr>
                    <w:pStyle w:val="35"/>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22.06</w:t>
                  </w:r>
                </w:p>
              </w:tc>
              <w:tc>
                <w:tcPr>
                  <w:tcW w:w="1816" w:type="dxa"/>
                  <w:noWrap w:val="0"/>
                  <w:vAlign w:val="center"/>
                </w:tcPr>
                <w:p w14:paraId="14DB46CF">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外</w:t>
                  </w:r>
                  <w:bookmarkStart w:id="88" w:name="hmcheck_0b7c1d98adba4499b23df3f74e1e4c71"/>
                  <w:r>
                    <w:rPr>
                      <w:rFonts w:hint="default" w:ascii="Times New Roman" w:hAnsi="Times New Roman" w:cs="Times New Roman"/>
                      <w:b w:val="0"/>
                      <w:bCs w:val="0"/>
                      <w:color w:val="auto"/>
                      <w:sz w:val="21"/>
                      <w:szCs w:val="21"/>
                      <w:highlight w:val="none"/>
                      <w:lang w:val="en-US" w:eastAsia="zh-CN"/>
                    </w:rPr>
                    <w:t>售</w:t>
                  </w:r>
                  <w:bookmarkEnd w:id="88"/>
                  <w:r>
                    <w:rPr>
                      <w:rFonts w:hint="default" w:ascii="Times New Roman" w:hAnsi="Times New Roman" w:cs="Times New Roman"/>
                      <w:b w:val="0"/>
                      <w:bCs w:val="0"/>
                      <w:color w:val="auto"/>
                      <w:sz w:val="21"/>
                      <w:szCs w:val="21"/>
                      <w:highlight w:val="none"/>
                      <w:lang w:val="en-US" w:eastAsia="zh-CN"/>
                    </w:rPr>
                    <w:t>建材企业作为原料</w:t>
                  </w:r>
                </w:p>
              </w:tc>
              <w:tc>
                <w:tcPr>
                  <w:tcW w:w="1175" w:type="dxa"/>
                  <w:noWrap w:val="0"/>
                  <w:vAlign w:val="center"/>
                </w:tcPr>
                <w:p w14:paraId="6A448D0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综合利用</w:t>
                  </w:r>
                </w:p>
              </w:tc>
            </w:tr>
            <w:tr w14:paraId="32768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72BFC012">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含油抹布</w:t>
                  </w:r>
                </w:p>
              </w:tc>
              <w:tc>
                <w:tcPr>
                  <w:tcW w:w="1174" w:type="dxa"/>
                  <w:vMerge w:val="restart"/>
                  <w:noWrap w:val="0"/>
                  <w:vAlign w:val="center"/>
                </w:tcPr>
                <w:p w14:paraId="2FCEB14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危险废物</w:t>
                  </w:r>
                </w:p>
              </w:tc>
              <w:tc>
                <w:tcPr>
                  <w:tcW w:w="1331" w:type="dxa"/>
                  <w:shd w:val="clear" w:color="auto" w:fill="auto"/>
                  <w:noWrap w:val="0"/>
                  <w:vAlign w:val="center"/>
                </w:tcPr>
                <w:p w14:paraId="125B55CB">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HW49 </w:t>
                  </w:r>
                  <w:r>
                    <w:rPr>
                      <w:rFonts w:hint="eastAsia" w:ascii="Times New Roman" w:hAnsi="Times New Roman" w:eastAsia="宋体" w:cs="Times New Roman"/>
                      <w:b w:val="0"/>
                      <w:bCs w:val="0"/>
                      <w:color w:val="auto"/>
                      <w:sz w:val="21"/>
                      <w:szCs w:val="21"/>
                      <w:highlight w:val="none"/>
                      <w:lang w:val="en-US" w:eastAsia="zh-CN"/>
                    </w:rPr>
                    <w:t>900-041-49</w:t>
                  </w:r>
                </w:p>
              </w:tc>
              <w:tc>
                <w:tcPr>
                  <w:tcW w:w="1331" w:type="dxa"/>
                  <w:shd w:val="clear" w:color="auto" w:fill="auto"/>
                  <w:noWrap w:val="0"/>
                  <w:vAlign w:val="center"/>
                </w:tcPr>
                <w:p w14:paraId="30A5E630">
                  <w:pPr>
                    <w:pStyle w:val="35"/>
                    <w:bidi w:val="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w:t>
                  </w:r>
                </w:p>
              </w:tc>
              <w:tc>
                <w:tcPr>
                  <w:tcW w:w="1816" w:type="dxa"/>
                  <w:noWrap w:val="0"/>
                  <w:vAlign w:val="center"/>
                </w:tcPr>
                <w:p w14:paraId="017B480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与生活垃圾一起交</w:t>
                  </w:r>
                  <w:r>
                    <w:rPr>
                      <w:rFonts w:hint="default" w:ascii="Times New Roman" w:hAnsi="Times New Roman" w:cs="Times New Roman"/>
                      <w:b w:val="0"/>
                      <w:bCs w:val="0"/>
                      <w:color w:val="auto"/>
                      <w:sz w:val="21"/>
                      <w:szCs w:val="21"/>
                      <w:highlight w:val="none"/>
                    </w:rPr>
                    <w:t>环卫部门清运</w:t>
                  </w:r>
                </w:p>
              </w:tc>
              <w:tc>
                <w:tcPr>
                  <w:tcW w:w="1175" w:type="dxa"/>
                  <w:noWrap w:val="0"/>
                  <w:vAlign w:val="center"/>
                </w:tcPr>
                <w:p w14:paraId="3F13514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卫生填埋</w:t>
                  </w:r>
                </w:p>
              </w:tc>
            </w:tr>
            <w:tr w14:paraId="6AE0E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7894A157">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废机油</w:t>
                  </w:r>
                </w:p>
              </w:tc>
              <w:tc>
                <w:tcPr>
                  <w:tcW w:w="1174" w:type="dxa"/>
                  <w:vMerge w:val="continue"/>
                  <w:noWrap w:val="0"/>
                  <w:vAlign w:val="center"/>
                </w:tcPr>
                <w:p w14:paraId="5AE9ACF3">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0E10EDC0">
                  <w:pPr>
                    <w:pStyle w:val="17"/>
                    <w:ind w:left="0" w:leftChars="0" w:firstLine="0" w:firstLine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HW08 900-209-08</w:t>
                  </w:r>
                </w:p>
              </w:tc>
              <w:tc>
                <w:tcPr>
                  <w:tcW w:w="1331" w:type="dxa"/>
                  <w:shd w:val="clear" w:color="auto" w:fill="auto"/>
                  <w:noWrap w:val="0"/>
                  <w:vAlign w:val="center"/>
                </w:tcPr>
                <w:p w14:paraId="0BE82631">
                  <w:pPr>
                    <w:pStyle w:val="35"/>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0.2</w:t>
                  </w:r>
                </w:p>
              </w:tc>
              <w:tc>
                <w:tcPr>
                  <w:tcW w:w="1816" w:type="dxa"/>
                  <w:vMerge w:val="restart"/>
                  <w:noWrap w:val="0"/>
                  <w:vAlign w:val="center"/>
                </w:tcPr>
                <w:p w14:paraId="2B85161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交由具有相应处理资质的单位进行处置</w:t>
                  </w:r>
                </w:p>
              </w:tc>
              <w:tc>
                <w:tcPr>
                  <w:tcW w:w="1175" w:type="dxa"/>
                  <w:vMerge w:val="restart"/>
                  <w:noWrap w:val="0"/>
                  <w:vAlign w:val="center"/>
                </w:tcPr>
                <w:p w14:paraId="681DABE0">
                  <w:pPr>
                    <w:pStyle w:val="35"/>
                    <w:bidi w:val="0"/>
                    <w:rPr>
                      <w:rFonts w:hint="default" w:ascii="Times New Roman" w:hAnsi="Times New Roman" w:cs="Times New Roman"/>
                      <w:b w:val="0"/>
                      <w:bCs w:val="0"/>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rPr>
                    <w:t>综合利用</w:t>
                  </w:r>
                </w:p>
              </w:tc>
            </w:tr>
            <w:tr w14:paraId="76744F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3" w:type="dxa"/>
                  <w:noWrap w:val="0"/>
                  <w:vAlign w:val="center"/>
                </w:tcPr>
                <w:p w14:paraId="4991A182">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废油桶</w:t>
                  </w:r>
                </w:p>
              </w:tc>
              <w:tc>
                <w:tcPr>
                  <w:tcW w:w="1174" w:type="dxa"/>
                  <w:vMerge w:val="continue"/>
                  <w:noWrap w:val="0"/>
                  <w:vAlign w:val="center"/>
                </w:tcPr>
                <w:p w14:paraId="65448AAC">
                  <w:pPr>
                    <w:pStyle w:val="35"/>
                    <w:bidi w:val="0"/>
                    <w:rPr>
                      <w:rFonts w:hint="default" w:ascii="Times New Roman" w:hAnsi="Times New Roman" w:cs="Times New Roman"/>
                      <w:b w:val="0"/>
                      <w:bCs w:val="0"/>
                      <w:color w:val="auto"/>
                      <w:sz w:val="21"/>
                      <w:szCs w:val="21"/>
                      <w:highlight w:val="none"/>
                    </w:rPr>
                  </w:pPr>
                </w:p>
              </w:tc>
              <w:tc>
                <w:tcPr>
                  <w:tcW w:w="1331" w:type="dxa"/>
                  <w:shd w:val="clear" w:color="auto" w:fill="auto"/>
                  <w:noWrap w:val="0"/>
                  <w:vAlign w:val="center"/>
                </w:tcPr>
                <w:p w14:paraId="1C742BA7">
                  <w:pPr>
                    <w:pStyle w:val="17"/>
                    <w:ind w:left="0" w:leftChars="0" w:firstLine="0" w:firstLine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HW08 900-249-08</w:t>
                  </w:r>
                </w:p>
              </w:tc>
              <w:tc>
                <w:tcPr>
                  <w:tcW w:w="1331" w:type="dxa"/>
                  <w:shd w:val="clear" w:color="auto" w:fill="auto"/>
                  <w:noWrap w:val="0"/>
                  <w:vAlign w:val="center"/>
                </w:tcPr>
                <w:p w14:paraId="36E96D5E">
                  <w:pPr>
                    <w:pStyle w:val="35"/>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0.02</w:t>
                  </w:r>
                </w:p>
              </w:tc>
              <w:tc>
                <w:tcPr>
                  <w:tcW w:w="1816" w:type="dxa"/>
                  <w:vMerge w:val="continue"/>
                  <w:noWrap w:val="0"/>
                  <w:vAlign w:val="center"/>
                </w:tcPr>
                <w:p w14:paraId="54929D8E">
                  <w:pPr>
                    <w:pStyle w:val="35"/>
                    <w:bidi w:val="0"/>
                    <w:rPr>
                      <w:rFonts w:hint="default" w:ascii="Times New Roman" w:hAnsi="Times New Roman" w:cs="Times New Roman"/>
                      <w:b w:val="0"/>
                      <w:bCs w:val="0"/>
                      <w:color w:val="auto"/>
                      <w:sz w:val="21"/>
                      <w:szCs w:val="21"/>
                      <w:highlight w:val="none"/>
                    </w:rPr>
                  </w:pPr>
                </w:p>
              </w:tc>
              <w:tc>
                <w:tcPr>
                  <w:tcW w:w="1175" w:type="dxa"/>
                  <w:vMerge w:val="continue"/>
                  <w:noWrap w:val="0"/>
                  <w:vAlign w:val="center"/>
                </w:tcPr>
                <w:p w14:paraId="64BADD84">
                  <w:pPr>
                    <w:pStyle w:val="35"/>
                    <w:bidi w:val="0"/>
                    <w:rPr>
                      <w:rFonts w:hint="default" w:ascii="Times New Roman" w:hAnsi="Times New Roman" w:cs="Times New Roman"/>
                      <w:b w:val="0"/>
                      <w:bCs w:val="0"/>
                      <w:color w:val="auto"/>
                      <w:sz w:val="21"/>
                      <w:szCs w:val="21"/>
                      <w:highlight w:val="none"/>
                      <w:lang w:val="en-US"/>
                    </w:rPr>
                  </w:pPr>
                </w:p>
              </w:tc>
            </w:tr>
          </w:tbl>
          <w:p w14:paraId="05BC47BB">
            <w:pPr>
              <w:spacing w:line="360" w:lineRule="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w:t>
            </w:r>
            <w:r>
              <w:rPr>
                <w:rFonts w:hint="default" w:ascii="Times New Roman" w:hAnsi="Times New Roman" w:eastAsia="宋体" w:cs="Times New Roman"/>
                <w:b/>
                <w:bCs w:val="0"/>
                <w:color w:val="auto"/>
                <w:sz w:val="24"/>
                <w:szCs w:val="24"/>
                <w:highlight w:val="none"/>
                <w:lang w:val="en-US" w:eastAsia="zh-CN"/>
              </w:rPr>
              <w:t>.</w:t>
            </w:r>
            <w:r>
              <w:rPr>
                <w:rFonts w:hint="default" w:ascii="Times New Roman" w:hAnsi="Times New Roman" w:cs="Times New Roman"/>
                <w:b/>
                <w:bCs w:val="0"/>
                <w:color w:val="auto"/>
                <w:sz w:val="24"/>
                <w:szCs w:val="24"/>
                <w:highlight w:val="none"/>
                <w:lang w:val="en-US" w:eastAsia="zh-CN"/>
              </w:rPr>
              <w:t xml:space="preserve">2 </w:t>
            </w:r>
            <w:r>
              <w:rPr>
                <w:rFonts w:hint="default" w:ascii="Times New Roman" w:hAnsi="Times New Roman" w:cs="Times New Roman"/>
                <w:b/>
                <w:bCs/>
                <w:color w:val="auto"/>
                <w:sz w:val="24"/>
                <w:szCs w:val="24"/>
                <w:highlight w:val="none"/>
                <w:lang w:val="en-US" w:eastAsia="zh-CN"/>
              </w:rPr>
              <w:t>危险废物的管理要求</w:t>
            </w:r>
          </w:p>
          <w:p w14:paraId="5BD6B8A4">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建设单位设置</w:t>
            </w:r>
            <w:r>
              <w:rPr>
                <w:rFonts w:hint="default" w:ascii="Times New Roman" w:hAnsi="Times New Roman" w:cs="Times New Roman"/>
                <w:color w:val="auto"/>
                <w:sz w:val="24"/>
                <w:szCs w:val="24"/>
                <w:highlight w:val="none"/>
                <w:lang w:eastAsia="zh-CN"/>
              </w:rPr>
              <w:t>危险废物贮存点</w:t>
            </w:r>
            <w:r>
              <w:rPr>
                <w:rFonts w:hint="default" w:ascii="Times New Roman" w:hAnsi="Times New Roman" w:cs="Times New Roman"/>
                <w:color w:val="auto"/>
                <w:sz w:val="24"/>
                <w:szCs w:val="24"/>
                <w:highlight w:val="none"/>
              </w:rPr>
              <w:t>，用于暂存</w:t>
            </w:r>
            <w:r>
              <w:rPr>
                <w:rFonts w:hint="default" w:ascii="Times New Roman" w:hAnsi="Times New Roman" w:cs="Times New Roman"/>
                <w:color w:val="auto"/>
                <w:sz w:val="24"/>
                <w:szCs w:val="24"/>
                <w:highlight w:val="none"/>
                <w:lang w:val="en-US" w:eastAsia="zh-CN"/>
              </w:rPr>
              <w:t>废油液、废油桶</w:t>
            </w:r>
            <w:r>
              <w:rPr>
                <w:rFonts w:hint="default" w:ascii="Times New Roman" w:hAnsi="Times New Roman" w:cs="Times New Roman"/>
                <w:color w:val="auto"/>
                <w:sz w:val="24"/>
                <w:szCs w:val="24"/>
                <w:highlight w:val="none"/>
              </w:rPr>
              <w:t>，定期交由有资质单位处置。</w:t>
            </w:r>
            <w:r>
              <w:rPr>
                <w:rFonts w:hint="default" w:ascii="Times New Roman" w:hAnsi="Times New Roman" w:cs="Times New Roman"/>
                <w:color w:val="auto"/>
                <w:sz w:val="24"/>
                <w:szCs w:val="24"/>
                <w:highlight w:val="none"/>
                <w:lang w:val="en-US" w:eastAsia="zh-CN"/>
              </w:rPr>
              <w:t>新建危险废物贮存点位于项目区东北角，占地面积约为10m²。</w:t>
            </w:r>
          </w:p>
          <w:p w14:paraId="076AF06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危险废物贮存点</w:t>
            </w:r>
            <w:r>
              <w:rPr>
                <w:rFonts w:hint="default" w:ascii="Times New Roman" w:hAnsi="Times New Roman" w:cs="Times New Roman"/>
                <w:color w:val="auto"/>
                <w:sz w:val="24"/>
                <w:szCs w:val="24"/>
                <w:highlight w:val="none"/>
              </w:rPr>
              <w:t>的设置严格按照《危险废物贮存污染控制标准》（GB18957-20</w:t>
            </w:r>
            <w:r>
              <w:rPr>
                <w:rFonts w:hint="default" w:ascii="Times New Roman" w:hAnsi="Times New Roman" w:cs="Times New Roman"/>
                <w:color w:val="auto"/>
                <w:sz w:val="24"/>
                <w:szCs w:val="24"/>
                <w:highlight w:val="none"/>
                <w:lang w:val="en-US" w:eastAsia="zh-CN"/>
              </w:rPr>
              <w:t>23</w:t>
            </w:r>
            <w:r>
              <w:rPr>
                <w:rFonts w:hint="default" w:ascii="Times New Roman" w:hAnsi="Times New Roman" w:cs="Times New Roman"/>
                <w:color w:val="auto"/>
                <w:sz w:val="24"/>
                <w:szCs w:val="24"/>
                <w:highlight w:val="none"/>
              </w:rPr>
              <w:t>）有关规定，</w:t>
            </w:r>
            <w:r>
              <w:rPr>
                <w:rFonts w:hint="default" w:ascii="Times New Roman" w:hAnsi="Times New Roman" w:eastAsia="宋体" w:cs="Times New Roman"/>
                <w:color w:val="auto"/>
                <w:sz w:val="24"/>
                <w:szCs w:val="24"/>
                <w:highlight w:val="none"/>
              </w:rPr>
              <w:t>本项目产生的危险废物处置通过</w:t>
            </w:r>
            <w:r>
              <w:rPr>
                <w:rFonts w:hint="default" w:ascii="Times New Roman" w:hAnsi="Times New Roman" w:eastAsia="宋体" w:cs="Times New Roman"/>
                <w:color w:val="auto"/>
                <w:sz w:val="24"/>
                <w:szCs w:val="24"/>
                <w:highlight w:val="none"/>
                <w:lang w:val="en-US" w:eastAsia="zh-CN"/>
              </w:rPr>
              <w:t>已建成</w:t>
            </w:r>
            <w:r>
              <w:rPr>
                <w:rFonts w:hint="default" w:ascii="Times New Roman" w:hAnsi="Times New Roman" w:eastAsia="宋体" w:cs="Times New Roman"/>
                <w:color w:val="auto"/>
                <w:sz w:val="24"/>
                <w:szCs w:val="24"/>
                <w:highlight w:val="none"/>
              </w:rPr>
              <w:t>的</w:t>
            </w:r>
            <w:r>
              <w:rPr>
                <w:rFonts w:hint="default" w:ascii="Times New Roman" w:hAnsi="Times New Roman" w:cs="Times New Roman"/>
                <w:color w:val="auto"/>
                <w:sz w:val="24"/>
                <w:szCs w:val="24"/>
                <w:highlight w:val="none"/>
                <w:lang w:eastAsia="zh-CN"/>
              </w:rPr>
              <w:t>危险废物贮存点</w:t>
            </w:r>
            <w:r>
              <w:rPr>
                <w:rFonts w:hint="default" w:ascii="Times New Roman" w:hAnsi="Times New Roman" w:cs="Times New Roman"/>
                <w:color w:val="auto"/>
                <w:sz w:val="24"/>
                <w:szCs w:val="24"/>
                <w:highlight w:val="none"/>
              </w:rPr>
              <w:t>进行暂存。危险废物</w:t>
            </w:r>
            <w:r>
              <w:rPr>
                <w:rFonts w:hint="default" w:ascii="Times New Roman" w:hAnsi="Times New Roman" w:cs="Times New Roman"/>
                <w:color w:val="auto"/>
                <w:sz w:val="24"/>
                <w:szCs w:val="24"/>
                <w:highlight w:val="none"/>
                <w:lang w:val="en-US" w:eastAsia="zh-CN"/>
              </w:rPr>
              <w:t>在厂区内进行暂存和转运时应满足以下要求</w:t>
            </w:r>
            <w:r>
              <w:rPr>
                <w:rFonts w:hint="default" w:ascii="Times New Roman" w:hAnsi="Times New Roman" w:cs="Times New Roman"/>
                <w:color w:val="auto"/>
                <w:sz w:val="24"/>
                <w:szCs w:val="24"/>
                <w:highlight w:val="none"/>
              </w:rPr>
              <w:t>。</w:t>
            </w:r>
          </w:p>
          <w:p w14:paraId="6D153DD6">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4.2.1一般规定</w:t>
            </w:r>
          </w:p>
          <w:p w14:paraId="19B49C7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贮存设施应根据危险废物的形态、物理化学性质、包装形式和污染物迁移途径，采取必要的防风、防晒、防雨、防漏、防渗、防腐以及其他环境污染防治措施，不应露天堆放危险废物。</w:t>
            </w:r>
          </w:p>
          <w:p w14:paraId="5670B1C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贮存设施应根据危险废物的类别、数量、形态、物理化学性质和污染防治等要求设置必要的贮存分区，避免不相容的危险废物接触、混合。</w:t>
            </w:r>
          </w:p>
          <w:p w14:paraId="0D4736E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贮存设施或贮存分区内地面、墙面裙脚、堵截泄漏的围堰、接触危险废物的隔板和墙体等应采用坚固的材料建造，表面无裂缝。</w:t>
            </w:r>
          </w:p>
          <w:p w14:paraId="4B1B972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④</w:t>
            </w:r>
            <w:r>
              <w:rPr>
                <w:rFonts w:hint="default" w:ascii="Times New Roman" w:hAnsi="Times New Roman" w:cs="Times New Roman"/>
                <w:color w:val="auto"/>
                <w:sz w:val="24"/>
                <w:szCs w:val="24"/>
                <w:highlight w:val="none"/>
                <w:lang w:eastAsia="zh-CN"/>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10-7cm/s），或至少2mm厚高密度聚乙烯膜等人工防渗材料（渗透系数不大于</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10-10cm/s），或其他防渗性能等效的材料。</w:t>
            </w:r>
          </w:p>
          <w:p w14:paraId="5EB86BD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⑤</w:t>
            </w:r>
            <w:r>
              <w:rPr>
                <w:rFonts w:hint="default" w:ascii="Times New Roman" w:hAnsi="Times New Roman" w:cs="Times New Roman"/>
                <w:color w:val="auto"/>
                <w:sz w:val="24"/>
                <w:szCs w:val="24"/>
                <w:highlight w:val="none"/>
                <w:lang w:eastAsia="zh-CN"/>
              </w:rPr>
              <w:t>同一贮存设施宜采用相同的防渗、防腐工艺（包括防渗、防腐结构或材料），防渗、防腐材料应覆盖所有可能与废物及其渗滤液、渗漏液等接触的构筑物表面；采用不同防渗、防腐工艺应分别建设</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eastAsia="zh-CN"/>
              </w:rPr>
              <w:t>贮存分区。</w:t>
            </w:r>
          </w:p>
          <w:p w14:paraId="7AB0E12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lang w:eastAsia="zh-CN"/>
              </w:rPr>
              <w:t>贮存设施应采取技术和管理措施防止无关人员进入。</w:t>
            </w:r>
          </w:p>
          <w:p w14:paraId="550A5A0D">
            <w:pPr>
              <w:keepNext w:val="0"/>
              <w:keepLines w:val="0"/>
              <w:suppressLineNumbers w:val="0"/>
              <w:spacing w:before="0" w:beforeAutospacing="0" w:after="0" w:afterAutospacing="0" w:line="360" w:lineRule="auto"/>
              <w:ind w:right="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b/>
                <w:bCs/>
                <w:color w:val="auto"/>
                <w:sz w:val="24"/>
                <w:szCs w:val="24"/>
                <w:highlight w:val="none"/>
                <w:lang w:val="en-US" w:eastAsia="zh-CN"/>
              </w:rPr>
              <w:t>.2.2本项目设置贮存库的具体要求</w:t>
            </w:r>
          </w:p>
          <w:p w14:paraId="76FA1E3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贮存库内不同贮存分区之间应采取隔离措施。隔离措施可根据危险废物特性采用过道、隔板或隔墙等方式。</w:t>
            </w:r>
          </w:p>
          <w:p w14:paraId="2BFEBEB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47D47C05">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4.2.3容器和包装物污染控制要求：</w:t>
            </w:r>
          </w:p>
          <w:p w14:paraId="744189E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①容器和包装物材质、内衬应与盛装的危险废物相容。</w:t>
            </w:r>
          </w:p>
          <w:p w14:paraId="600E927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②针对不同类别、形态、物理化学性质的危险废物，其容器和包装物应满足相应的防渗、防漏、防腐和强度等要求。</w:t>
            </w:r>
          </w:p>
          <w:p w14:paraId="34B1ED8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③硬质容器和包装物及其支护结构堆叠码放时不应有明显变形，无破损泄漏。</w:t>
            </w:r>
          </w:p>
          <w:p w14:paraId="61FEE3C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④柔性容器和包装物堆叠码放时应封口严密，无破损泄漏。</w:t>
            </w:r>
          </w:p>
          <w:p w14:paraId="49DBB53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⑤使用容器盛装液态、半固态危险废物时，容器内部应留有适当的空间，以适应因温度变化等可能引发的收缩和膨胀，防止其导致容器渗漏或永久变形。</w:t>
            </w:r>
          </w:p>
          <w:p w14:paraId="5E9D381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lang w:eastAsia="zh-CN"/>
              </w:rPr>
              <w:t>容器和包装物外表面应保持清洁</w:t>
            </w:r>
            <w:r>
              <w:rPr>
                <w:rFonts w:hint="default" w:ascii="Times New Roman" w:hAnsi="Times New Roman" w:cs="Times New Roman"/>
                <w:color w:val="auto"/>
                <w:sz w:val="24"/>
                <w:szCs w:val="24"/>
                <w:highlight w:val="none"/>
                <w:lang w:val="en-US" w:eastAsia="zh-CN"/>
              </w:rPr>
              <w:t>。</w:t>
            </w:r>
          </w:p>
          <w:p w14:paraId="4D04E609">
            <w:pPr>
              <w:keepNext w:val="0"/>
              <w:keepLines w:val="0"/>
              <w:suppressLineNumbers w:val="0"/>
              <w:spacing w:before="0" w:beforeAutospacing="0" w:after="0" w:afterAutospacing="0" w:line="360" w:lineRule="auto"/>
              <w:ind w:right="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4.2.4贮存过程污染控制要求</w:t>
            </w:r>
          </w:p>
          <w:p w14:paraId="661C5F9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（1）一般规定</w:t>
            </w:r>
          </w:p>
          <w:p w14:paraId="6D2C9C5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在常温常压下不易水解、不易挥发的固态危险废物可分类堆放贮存，其他固态危险废物应装入容器或包装物内贮存。</w:t>
            </w:r>
          </w:p>
          <w:p w14:paraId="6294A25E">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液态危险废物应装入容器内贮存，或直接采用贮存池、贮存罐区贮存。</w:t>
            </w:r>
          </w:p>
          <w:p w14:paraId="58E0E6B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半固态危险废物应装入容器或包装袋内贮存，或直接采用贮存池贮存。</w:t>
            </w:r>
          </w:p>
          <w:p w14:paraId="46F74D8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⑤</w:t>
            </w:r>
            <w:r>
              <w:rPr>
                <w:rFonts w:hint="default" w:ascii="Times New Roman" w:hAnsi="Times New Roman" w:cs="Times New Roman"/>
                <w:color w:val="auto"/>
                <w:sz w:val="24"/>
                <w:szCs w:val="24"/>
                <w:highlight w:val="none"/>
                <w:lang w:eastAsia="zh-CN"/>
              </w:rPr>
              <w:t>易产生粉尘和刺激性气味气体的危险废物应装入闭口容器或包装物内贮存。</w:t>
            </w:r>
          </w:p>
          <w:p w14:paraId="62CB972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lang w:eastAsia="zh-CN"/>
              </w:rPr>
              <w:t>危险废物贮存过程中易产生粉尘等无组织排放的，应采取抑尘等有效措施。</w:t>
            </w:r>
          </w:p>
          <w:p w14:paraId="5FB80A5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贮存设施运行环境管理要求</w:t>
            </w:r>
          </w:p>
          <w:p w14:paraId="62FBC1C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危险废物存入贮存设施前应对危险废物类别和特性与危险废物标签等危险废物识别标志的一致性进行核验，不一致的或类别、特性不明的不应存入。</w:t>
            </w:r>
          </w:p>
          <w:p w14:paraId="29DC87A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应定期检查危险废物的贮存状况，及时清理贮存设施地面，更换破损泄漏的危险废物贮存容器和包装物，保证堆存危险废物的防雨、防风、防扬尘等设施功能完好。</w:t>
            </w:r>
          </w:p>
          <w:p w14:paraId="38FED73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作业设备及车辆等结束作业离开贮存设施时，应对其残留的危险废物进行清理，清理的废物或清洗废水应收集处理。</w:t>
            </w:r>
          </w:p>
          <w:p w14:paraId="01B4778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④</w:t>
            </w:r>
            <w:r>
              <w:rPr>
                <w:rFonts w:hint="default" w:ascii="Times New Roman" w:hAnsi="Times New Roman" w:cs="Times New Roman"/>
                <w:color w:val="auto"/>
                <w:sz w:val="24"/>
                <w:szCs w:val="24"/>
                <w:highlight w:val="none"/>
                <w:lang w:eastAsia="zh-CN"/>
              </w:rPr>
              <w:t>贮存设施运行期间，应按国家有关标准和规定建立危险废物管理台账并保存。</w:t>
            </w:r>
          </w:p>
          <w:p w14:paraId="39520AB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⑤</w:t>
            </w:r>
            <w:r>
              <w:rPr>
                <w:rFonts w:hint="default" w:ascii="Times New Roman" w:hAnsi="Times New Roman" w:cs="Times New Roman"/>
                <w:color w:val="auto"/>
                <w:sz w:val="24"/>
                <w:szCs w:val="24"/>
                <w:highlight w:val="none"/>
                <w:lang w:eastAsia="zh-CN"/>
              </w:rPr>
              <w:t>贮存设施所有者或运营者应建立贮存设施环境管理制度、管理人员岗位职责制度、设施运行操作制度、人员岗位培训制度等。</w:t>
            </w:r>
          </w:p>
          <w:p w14:paraId="27A9D67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lang w:eastAsia="zh-CN"/>
              </w:rPr>
              <w:t>贮存设施所有者或运营者应依据国家土壤和地下水污染防治的有关规定，结合贮存设施特点建立土壤和地下水污染隐患排查制度，并定期开展隐患排查；发现隐患应及时采取措施消除隐患，并建立档案。</w:t>
            </w:r>
          </w:p>
          <w:p w14:paraId="478DAB4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⑦</w:t>
            </w:r>
            <w:r>
              <w:rPr>
                <w:rFonts w:hint="default" w:ascii="Times New Roman" w:hAnsi="Times New Roman" w:cs="Times New Roman"/>
                <w:color w:val="auto"/>
                <w:sz w:val="24"/>
                <w:szCs w:val="24"/>
                <w:highlight w:val="none"/>
                <w:lang w:eastAsia="zh-CN"/>
              </w:rPr>
              <w:t>贮存设施所有者或运营者应建立贮存设施全部档案，包括设计、施工、验收、运行、监测和环境应急等，应按国家有关档案管理的法律法规进行整理和归档。</w:t>
            </w:r>
          </w:p>
          <w:p w14:paraId="10F207C3">
            <w:pPr>
              <w:keepNext w:val="0"/>
              <w:keepLines w:val="0"/>
              <w:suppressLineNumbers w:val="0"/>
              <w:spacing w:before="0" w:beforeAutospacing="0" w:after="0" w:afterAutospacing="0" w:line="360" w:lineRule="auto"/>
              <w:ind w:right="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4.2.5委托处置要求</w:t>
            </w:r>
          </w:p>
          <w:p w14:paraId="5E343C0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项目贮存的危险废物</w:t>
            </w:r>
            <w:bookmarkStart w:id="89" w:name="hmcheck_e0c5f7f2653948f2a6944035cab8a503"/>
            <w:bookmarkStart w:id="90" w:name="hmcheck_91bb6989e88a4c69b8d287df41f8f311"/>
            <w:r>
              <w:rPr>
                <w:rFonts w:hint="default" w:ascii="Times New Roman" w:hAnsi="Times New Roman" w:cs="Times New Roman"/>
                <w:color w:val="auto"/>
                <w:sz w:val="24"/>
                <w:szCs w:val="24"/>
                <w:highlight w:val="none"/>
                <w:lang w:eastAsia="zh-CN"/>
              </w:rPr>
              <w:t>由</w:t>
            </w:r>
            <w:bookmarkEnd w:id="89"/>
            <w:bookmarkEnd w:id="90"/>
            <w:r>
              <w:rPr>
                <w:rFonts w:hint="default" w:ascii="Times New Roman" w:hAnsi="Times New Roman" w:cs="Times New Roman"/>
                <w:color w:val="auto"/>
                <w:sz w:val="24"/>
                <w:szCs w:val="24"/>
                <w:highlight w:val="none"/>
                <w:lang w:eastAsia="zh-CN"/>
              </w:rPr>
              <w:t>有资质危废处置单位处置，危废处置单位使用专用车辆，</w:t>
            </w:r>
            <w:bookmarkStart w:id="91" w:name="hmcheck_5a0576a4310d4b6ba5bbd3fc6ff1135c"/>
            <w:bookmarkStart w:id="92" w:name="hmcheck_b14f4267798e402a8c3e373bd2c6e12a"/>
            <w:r>
              <w:rPr>
                <w:rFonts w:hint="default" w:ascii="Times New Roman" w:hAnsi="Times New Roman" w:cs="Times New Roman"/>
                <w:color w:val="auto"/>
                <w:sz w:val="24"/>
                <w:szCs w:val="24"/>
                <w:highlight w:val="none"/>
                <w:lang w:eastAsia="zh-CN"/>
              </w:rPr>
              <w:t>至</w:t>
            </w:r>
            <w:bookmarkEnd w:id="91"/>
            <w:bookmarkEnd w:id="92"/>
            <w:r>
              <w:rPr>
                <w:rFonts w:hint="default" w:ascii="Times New Roman" w:hAnsi="Times New Roman" w:cs="Times New Roman"/>
                <w:color w:val="auto"/>
                <w:sz w:val="24"/>
                <w:szCs w:val="24"/>
                <w:highlight w:val="none"/>
                <w:lang w:eastAsia="zh-CN"/>
              </w:rPr>
              <w:t>厂内收集、转移本项目危险废物，</w:t>
            </w:r>
            <w:r>
              <w:rPr>
                <w:rFonts w:hint="default" w:ascii="Times New Roman" w:hAnsi="Times New Roman" w:cs="Times New Roman"/>
                <w:color w:val="auto"/>
                <w:sz w:val="24"/>
                <w:szCs w:val="24"/>
                <w:highlight w:val="none"/>
                <w:lang w:val="en-US" w:eastAsia="zh-CN"/>
              </w:rPr>
              <w:t>同时，同时根据《危险废物转移管理办法》（部令第23号）危险废物接收单位应当履行以下义务：</w:t>
            </w:r>
          </w:p>
          <w:p w14:paraId="27C22B9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）核实拟</w:t>
            </w:r>
            <w:r>
              <w:rPr>
                <w:rFonts w:hint="default" w:ascii="Times New Roman" w:hAnsi="Times New Roman" w:cs="Times New Roman"/>
                <w:color w:val="auto"/>
                <w:sz w:val="24"/>
                <w:szCs w:val="24"/>
                <w:highlight w:val="none"/>
                <w:lang w:val="en-US" w:eastAsia="zh-CN"/>
              </w:rPr>
              <w:t>接受</w:t>
            </w:r>
            <w:r>
              <w:rPr>
                <w:rFonts w:hint="default" w:ascii="Times New Roman" w:hAnsi="Times New Roman" w:cs="Times New Roman"/>
                <w:color w:val="auto"/>
                <w:sz w:val="24"/>
                <w:szCs w:val="24"/>
                <w:highlight w:val="none"/>
                <w:lang w:eastAsia="zh-CN"/>
              </w:rPr>
              <w:t>的危险废物的种类、重量（数量）、包装、识别标志等相关信息；</w:t>
            </w:r>
          </w:p>
          <w:p w14:paraId="0C61966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）填写、运行危险废物转移联单，在危险废物转移联单中如实填写是否接受的意见，以及利用、处置方式和接受量等信息；</w:t>
            </w:r>
          </w:p>
          <w:p w14:paraId="302F40E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eastAsia="zh-CN"/>
              </w:rPr>
              <w:t>）按照国家和地方有关规定和标准，对接受的危险废物进行贮存、利用或者处置；</w:t>
            </w:r>
          </w:p>
          <w:p w14:paraId="5F66D14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）将危险废物接受情况、利用或者处置结果及时告知移出人；</w:t>
            </w:r>
          </w:p>
          <w:p w14:paraId="40E1CB0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eastAsia="zh-CN"/>
              </w:rPr>
              <w:t>）法律法规规定的其他义务。</w:t>
            </w:r>
          </w:p>
          <w:p w14:paraId="0203E6E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本项目建设单位不自行外运、转移，危险废物委托处理后对环境影响不大。</w:t>
            </w:r>
          </w:p>
          <w:p w14:paraId="37DA7BB0">
            <w:pPr>
              <w:keepNext w:val="0"/>
              <w:keepLines w:val="0"/>
              <w:suppressLineNumbers w:val="0"/>
              <w:spacing w:before="0" w:beforeAutospacing="0" w:after="0" w:afterAutospacing="0" w:line="360" w:lineRule="auto"/>
              <w:ind w:right="0"/>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4.2.6危险废物管理计划和管理台账</w:t>
            </w:r>
          </w:p>
          <w:p w14:paraId="6B1B441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本项目在设备的日常维护、检修、保养过程中会产生少量的废机油、废油桶、废含油抹布，依据《危险废物管理计划和管理台账制定技术导则》（HJ1259-2022），本单位是产生危险废物的单位，故应按照</w:t>
            </w:r>
            <w:r>
              <w:rPr>
                <w:rFonts w:hint="default" w:ascii="Times New Roman" w:hAnsi="Times New Roman" w:cs="Times New Roman"/>
                <w:color w:val="auto"/>
                <w:sz w:val="24"/>
                <w:szCs w:val="24"/>
                <w:highlight w:val="none"/>
                <w:lang w:eastAsia="zh-CN"/>
              </w:rPr>
              <w:t>规定的分类管理要求，制定危险废物管理计划，内容应当包括减少危险废物产生量和降低危险废物危害性的措施以及危险废物贮存、利用、处置措施；建立危险废物管理台账，如实记录危险废物的种类、产生量、流向、贮存、利用、处置等有关信息；通过国家危险废物信息管理系统向所在地生态环境主管部门备案危险废物管理计划，申报危险废物有关资料。</w:t>
            </w:r>
            <w:r>
              <w:rPr>
                <w:rFonts w:hint="default" w:ascii="Times New Roman" w:hAnsi="Times New Roman" w:cs="Times New Roman"/>
                <w:color w:val="auto"/>
                <w:sz w:val="24"/>
                <w:szCs w:val="24"/>
                <w:highlight w:val="none"/>
                <w:lang w:val="en-US" w:eastAsia="zh-CN"/>
              </w:rPr>
              <w:t>建设单位应当</w:t>
            </w:r>
            <w:r>
              <w:rPr>
                <w:rFonts w:hint="default" w:ascii="Times New Roman" w:hAnsi="Times New Roman" w:cs="Times New Roman"/>
                <w:color w:val="auto"/>
                <w:sz w:val="24"/>
                <w:szCs w:val="24"/>
                <w:highlight w:val="none"/>
                <w:lang w:eastAsia="zh-CN"/>
              </w:rPr>
              <w:t>废物的单位应当按照实际情况填写记录有关内容，并对内容的真实性、准确性和完整性负责。</w:t>
            </w:r>
            <w:r>
              <w:rPr>
                <w:rFonts w:hint="default" w:ascii="Times New Roman" w:hAnsi="Times New Roman" w:cs="Times New Roman"/>
                <w:color w:val="auto"/>
                <w:sz w:val="24"/>
                <w:szCs w:val="24"/>
                <w:highlight w:val="none"/>
                <w:lang w:val="en-US" w:eastAsia="zh-CN"/>
              </w:rPr>
              <w:t>危险废物管理计划制定执行如下要求：</w:t>
            </w:r>
          </w:p>
          <w:p w14:paraId="24FD0FB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（1）制定单位</w:t>
            </w:r>
          </w:p>
          <w:p w14:paraId="54DBAE0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同一法人单位或者其他组织所属但位于不同生产经营场所的单位，应当以每个生产经营场所为单位，分别制定危险废物管理计划，并通过国家危险废物信息管理系统向生产经营场所所在地生态环境主管部门备案。</w:t>
            </w:r>
          </w:p>
          <w:p w14:paraId="7CBEAB1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制定形式及时限要求</w:t>
            </w:r>
          </w:p>
          <w:p w14:paraId="1DC684C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产生危险废物的单位应当按年度制定危险废物管理计划。</w:t>
            </w:r>
          </w:p>
          <w:p w14:paraId="14321F3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产生危险废物的单位应当于每年3月31日前通过国家危险废物信息管理系统在线填写并提交当年度的危险废物管理计划，由国家危险废物信息管理系统自动生成备案编号和回执，完成备案。</w:t>
            </w:r>
          </w:p>
          <w:p w14:paraId="2F0C83B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危险废物管理计划备案内容需要调整的，产生危险废物的单位应当及时变更。</w:t>
            </w:r>
          </w:p>
          <w:p w14:paraId="59C81C5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一般原则</w:t>
            </w:r>
          </w:p>
          <w:p w14:paraId="3658E9B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危险废物环境重点监管单位的管理计划制定内容应包括单位基本信息、设施信息、危险废物产生情况信息、危险废物贮存情况信息、危险废物自行利用/处置情况信息、危险废物减量化计划和措施、危险废物转移情况信息。</w:t>
            </w:r>
          </w:p>
          <w:p w14:paraId="744FB2E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危险废物简化管理单位的管理计划制定内容应包括单位基本信息、危险废物产生情况信息、危险废物贮存情况信息、危险废物减量化计划和措施、危险废物转移情况信息。</w:t>
            </w:r>
          </w:p>
          <w:p w14:paraId="3762669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危险废物登记管理单位的管理计划制定内容应包括单位基本信息、危险废物产生情况信息、危险废物转移情况信息。</w:t>
            </w:r>
          </w:p>
          <w:p w14:paraId="53360FC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④危险废物记录台账保存时间原则上应存档5年以上。</w:t>
            </w:r>
          </w:p>
          <w:p w14:paraId="39723AC4">
            <w:pPr>
              <w:keepNext w:val="0"/>
              <w:keepLines w:val="0"/>
              <w:suppressLineNumbers w:val="0"/>
              <w:spacing w:before="0" w:beforeAutospacing="0" w:after="0" w:afterAutospacing="0" w:line="360" w:lineRule="auto"/>
              <w:ind w:right="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 xml:space="preserve">4.3 </w:t>
            </w:r>
            <w:r>
              <w:rPr>
                <w:rFonts w:hint="default" w:ascii="Times New Roman" w:hAnsi="Times New Roman" w:eastAsia="宋体" w:cs="Times New Roman"/>
                <w:b/>
                <w:bCs w:val="0"/>
                <w:color w:val="auto"/>
                <w:sz w:val="24"/>
                <w:szCs w:val="24"/>
                <w:highlight w:val="none"/>
                <w:lang w:val="en-US" w:eastAsia="zh-CN"/>
              </w:rPr>
              <w:t>一般固体废物管理要求</w:t>
            </w:r>
          </w:p>
          <w:p w14:paraId="7680342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依据《一般工业固体废物管理台账制定指南（试行）》及</w:t>
            </w:r>
            <w:r>
              <w:rPr>
                <w:rFonts w:hint="default" w:ascii="Times New Roman" w:hAnsi="Times New Roman" w:cs="Times New Roman"/>
                <w:color w:val="auto"/>
                <w:sz w:val="24"/>
                <w:szCs w:val="24"/>
                <w:highlight w:val="none"/>
                <w:lang w:eastAsia="zh-CN"/>
              </w:rPr>
              <w:t>《一般工业固体废物贮存和填埋污染控制标准》（GB 18599-20</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严格落实固体废物台账制度和设置要求。具体如下：</w:t>
            </w:r>
          </w:p>
          <w:p w14:paraId="53CFD64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（1）台账记录要求</w:t>
            </w:r>
          </w:p>
          <w:p w14:paraId="7E33278E">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eastAsia="zh-CN"/>
              </w:rPr>
              <w:t>一般工业固体废物管理台账实施分级管理。附表1至附表3属于必填信息，主要用于记录固体废物的基础信息及流向信息，所有产生工业固体废物的单位均应当填写。</w:t>
            </w:r>
          </w:p>
          <w:p w14:paraId="3EEA007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lang w:eastAsia="zh-CN"/>
              </w:rPr>
              <w:t>附表1应当结合环境影响评价、排污许可证等材料，根据实际生产运营情况填写固体废物产生信息；附表2按月填写，记录固体废物的产生、贮存、利用、处置数量等信息；附表3按批次填写，每一批次固体废物的出厂以及流向信息均必须根据实际情况如实记录。</w:t>
            </w:r>
          </w:p>
          <w:p w14:paraId="1070A8A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lang w:eastAsia="zh-CN"/>
              </w:rPr>
              <w:t>附表4</w:t>
            </w:r>
            <w:bookmarkStart w:id="93" w:name="hmcheck_ed14cc4824f74b20be6661fb0c308143"/>
            <w:bookmarkStart w:id="94" w:name="hmcheck_7bb929faba04460099f0b94257b7af11"/>
            <w:r>
              <w:rPr>
                <w:rFonts w:hint="default" w:ascii="Times New Roman" w:hAnsi="Times New Roman" w:cs="Times New Roman"/>
                <w:color w:val="auto"/>
                <w:sz w:val="24"/>
                <w:szCs w:val="24"/>
                <w:highlight w:val="none"/>
                <w:lang w:eastAsia="zh-CN"/>
              </w:rPr>
              <w:t>至</w:t>
            </w:r>
            <w:bookmarkEnd w:id="93"/>
            <w:bookmarkEnd w:id="94"/>
            <w:r>
              <w:rPr>
                <w:rFonts w:hint="default" w:ascii="Times New Roman" w:hAnsi="Times New Roman" w:cs="Times New Roman"/>
                <w:color w:val="auto"/>
                <w:sz w:val="24"/>
                <w:szCs w:val="24"/>
                <w:highlight w:val="none"/>
                <w:lang w:eastAsia="zh-CN"/>
              </w:rPr>
              <w:t>附表7表格应及时填写，确保每一批次的固体废物来源信息与流向信息、数量信息与人员信息一一对应。对于批次产生的固体废物应按次填写，对于连续产生的固体废物应按日填写。</w:t>
            </w:r>
          </w:p>
          <w:p w14:paraId="2E86D68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④</w:t>
            </w:r>
            <w:r>
              <w:rPr>
                <w:rFonts w:hint="default" w:ascii="Times New Roman" w:hAnsi="Times New Roman" w:cs="Times New Roman"/>
                <w:color w:val="auto"/>
                <w:sz w:val="24"/>
                <w:szCs w:val="24"/>
                <w:highlight w:val="none"/>
                <w:lang w:eastAsia="zh-CN"/>
              </w:rPr>
              <w:t>产废单位应当结合自身固体废物产生实际情况，从附表8中选择对应的固体废物类别和代码填写台账记录表。附表8同样适用于工业固体废物排污许可申请与核发等相关工作。</w:t>
            </w:r>
          </w:p>
          <w:p w14:paraId="13CD44B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⑤</w:t>
            </w:r>
            <w:r>
              <w:rPr>
                <w:rFonts w:hint="default" w:ascii="Times New Roman" w:hAnsi="Times New Roman" w:cs="Times New Roman"/>
                <w:color w:val="auto"/>
                <w:sz w:val="24"/>
                <w:szCs w:val="24"/>
                <w:highlight w:val="none"/>
                <w:lang w:eastAsia="zh-CN"/>
              </w:rPr>
              <w:t>一般工业固体废物管理台账应由专人管理，防止遗失。一般工业固体废物管理台账保存期限不少于5 年。</w:t>
            </w:r>
          </w:p>
          <w:p w14:paraId="70BCDF6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lang w:eastAsia="zh-CN"/>
              </w:rPr>
              <w:t>鼓励有条件的产废单位在固体废物产生场所、贮存场所等关键点位设置视频监控，提升台账记录信息的准确性。</w:t>
            </w:r>
          </w:p>
          <w:p w14:paraId="018965A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⑦</w:t>
            </w:r>
            <w:r>
              <w:rPr>
                <w:rFonts w:hint="default" w:ascii="Times New Roman" w:hAnsi="Times New Roman" w:cs="Times New Roman"/>
                <w:color w:val="auto"/>
                <w:sz w:val="24"/>
                <w:szCs w:val="24"/>
                <w:highlight w:val="none"/>
                <w:lang w:eastAsia="zh-CN"/>
              </w:rPr>
              <w:t>鼓励有条件的产废单位采用信息化手段建立电子台账，实现一般工业固体废物管理台账的数字化、信息化。</w:t>
            </w:r>
          </w:p>
          <w:p w14:paraId="2E4574C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2）一般固体废物暂存处技术要求</w:t>
            </w:r>
          </w:p>
          <w:p w14:paraId="6DFDA92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依据</w:t>
            </w:r>
            <w:r>
              <w:rPr>
                <w:rFonts w:hint="default" w:ascii="Times New Roman" w:hAnsi="Times New Roman" w:cs="Times New Roman"/>
                <w:color w:val="auto"/>
                <w:sz w:val="24"/>
                <w:szCs w:val="24"/>
                <w:highlight w:val="none"/>
                <w:lang w:eastAsia="zh-CN"/>
              </w:rPr>
              <w:t>《一般工业固体废物贮存和填埋污染控制标准》（GB 18599-20</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本项目设置的一般固体废物贮存场所应设置在封闭的库房内，同时应做好防渗漏、防雨淋、防尘措施</w:t>
            </w:r>
            <w:r>
              <w:rPr>
                <w:rFonts w:hint="default" w:ascii="Times New Roman" w:hAnsi="Times New Roman" w:cs="Times New Roman"/>
                <w:color w:val="auto"/>
                <w:sz w:val="24"/>
                <w:szCs w:val="24"/>
                <w:highlight w:val="none"/>
                <w:lang w:eastAsia="zh-CN"/>
              </w:rPr>
              <w:t>。</w:t>
            </w:r>
          </w:p>
          <w:p w14:paraId="791BD505">
            <w:pPr>
              <w:bidi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 xml:space="preserve">4.4 </w:t>
            </w:r>
            <w:r>
              <w:rPr>
                <w:rFonts w:hint="default" w:ascii="Times New Roman" w:hAnsi="Times New Roman" w:cs="Times New Roman"/>
                <w:b/>
                <w:bCs/>
                <w:color w:val="auto"/>
                <w:sz w:val="24"/>
                <w:szCs w:val="24"/>
                <w:highlight w:val="none"/>
              </w:rPr>
              <w:t>固体废物处置合理性分析</w:t>
            </w:r>
          </w:p>
          <w:p w14:paraId="1334973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灰渣及脱硫石膏中不含有毒物质，</w:t>
            </w:r>
            <w:r>
              <w:rPr>
                <w:rFonts w:hint="default" w:ascii="Times New Roman" w:hAnsi="Times New Roman" w:cs="Times New Roman"/>
                <w:color w:val="auto"/>
                <w:sz w:val="24"/>
                <w:szCs w:val="24"/>
                <w:highlight w:val="none"/>
                <w:lang w:val="en-US" w:eastAsia="zh-CN"/>
              </w:rPr>
              <w:t>属于一般固体废物</w:t>
            </w:r>
            <w:r>
              <w:rPr>
                <w:rFonts w:hint="default" w:ascii="Times New Roman" w:hAnsi="Times New Roman" w:cs="Times New Roman"/>
                <w:color w:val="auto"/>
                <w:sz w:val="24"/>
                <w:szCs w:val="24"/>
                <w:highlight w:val="none"/>
                <w:lang w:eastAsia="zh-CN"/>
              </w:rPr>
              <w:t>，堆存在封闭灰渣</w:t>
            </w:r>
            <w:bookmarkStart w:id="95" w:name="hmcheck_f9d0878651ac463888cafe8c46a59ea8"/>
            <w:r>
              <w:rPr>
                <w:rFonts w:hint="default" w:ascii="Times New Roman" w:hAnsi="Times New Roman" w:cs="Times New Roman"/>
                <w:color w:val="auto"/>
                <w:sz w:val="24"/>
                <w:szCs w:val="24"/>
                <w:highlight w:val="none"/>
                <w:lang w:eastAsia="zh-CN"/>
              </w:rPr>
              <w:t>库</w:t>
            </w:r>
            <w:bookmarkEnd w:id="95"/>
            <w:r>
              <w:rPr>
                <w:rFonts w:hint="default" w:ascii="Times New Roman" w:hAnsi="Times New Roman" w:cs="Times New Roman"/>
                <w:color w:val="auto"/>
                <w:sz w:val="24"/>
                <w:szCs w:val="24"/>
                <w:highlight w:val="none"/>
                <w:lang w:eastAsia="zh-CN"/>
              </w:rPr>
              <w:t>，短时间内不会对环境造成不利影响。但如果长期堆放，废渣干燥后，大风天气时将产生扬尘，雨雪天气时会产生淋溶水，对周围环境可能会产生不利影响。同时，废渣长期堆存在厂区，将会占用厂区用地，影响厂区环境美观。本项目新建全封闭式灰渣</w:t>
            </w:r>
            <w:bookmarkStart w:id="96" w:name="hmcheck_4981579979de4a3e96e3e68d77544429"/>
            <w:r>
              <w:rPr>
                <w:rFonts w:hint="default" w:ascii="Times New Roman" w:hAnsi="Times New Roman" w:cs="Times New Roman"/>
                <w:color w:val="auto"/>
                <w:sz w:val="24"/>
                <w:szCs w:val="24"/>
                <w:highlight w:val="none"/>
                <w:lang w:eastAsia="zh-CN"/>
              </w:rPr>
              <w:t>库</w:t>
            </w:r>
            <w:bookmarkEnd w:id="96"/>
            <w:r>
              <w:rPr>
                <w:rFonts w:hint="default" w:ascii="Times New Roman" w:hAnsi="Times New Roman" w:cs="Times New Roman"/>
                <w:color w:val="auto"/>
                <w:sz w:val="24"/>
                <w:szCs w:val="24"/>
                <w:highlight w:val="none"/>
                <w:lang w:eastAsia="zh-CN"/>
              </w:rPr>
              <w:t>，尽量减少粉尘污染物可能对环境的不利影响。另外堆场采取地面硬化措施，地表修建径流排渠，将地表径流排入沉淀池中。</w:t>
            </w:r>
          </w:p>
          <w:p w14:paraId="4E2C193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玉米烘干过程产生的碎屑、红衣均为有机质，集中收集后定期出售给附近农户用于堆肥。</w:t>
            </w:r>
          </w:p>
          <w:p w14:paraId="7039434E">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除尘器除尘灰加湿搅拌后外运，用于建材企业原料使用。</w:t>
            </w:r>
          </w:p>
          <w:p w14:paraId="33FC7B40">
            <w:pPr>
              <w:spacing w:line="360" w:lineRule="auto"/>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rPr>
              <w:t>项目</w:t>
            </w:r>
            <w:r>
              <w:rPr>
                <w:rFonts w:hint="eastAsia" w:cs="Times New Roman"/>
                <w:color w:val="auto"/>
                <w:kern w:val="0"/>
                <w:sz w:val="24"/>
                <w:highlight w:val="none"/>
                <w:lang w:val="en-US" w:eastAsia="zh-CN"/>
              </w:rPr>
              <w:t>生物质燃料及脱硫剂</w:t>
            </w:r>
            <w:r>
              <w:rPr>
                <w:rFonts w:hint="default" w:ascii="Times New Roman" w:hAnsi="Times New Roman" w:eastAsia="宋体" w:cs="Times New Roman"/>
                <w:color w:val="auto"/>
                <w:kern w:val="0"/>
                <w:sz w:val="24"/>
                <w:highlight w:val="none"/>
              </w:rPr>
              <w:t>为袋装，会产生废包装袋，产生量约为</w:t>
            </w:r>
            <w:r>
              <w:rPr>
                <w:rFonts w:hint="eastAsia" w:cs="Times New Roman"/>
                <w:color w:val="auto"/>
                <w:kern w:val="0"/>
                <w:sz w:val="24"/>
                <w:highlight w:val="none"/>
                <w:lang w:val="en-US" w:eastAsia="zh-CN"/>
              </w:rPr>
              <w:t>0</w:t>
            </w:r>
            <w:r>
              <w:rPr>
                <w:rFonts w:hint="default" w:ascii="Times New Roman" w:hAnsi="Times New Roman" w:eastAsia="宋体" w:cs="Times New Roman"/>
                <w:color w:val="auto"/>
                <w:kern w:val="0"/>
                <w:sz w:val="24"/>
                <w:highlight w:val="none"/>
              </w:rPr>
              <w:t>.5</w:t>
            </w:r>
            <w:r>
              <w:rPr>
                <w:rFonts w:hint="default" w:ascii="Times New Roman" w:hAnsi="Times New Roman" w:eastAsia="宋体" w:cs="Times New Roman"/>
                <w:color w:val="auto"/>
                <w:kern w:val="0"/>
                <w:sz w:val="24"/>
                <w:highlight w:val="none"/>
                <w:lang w:eastAsia="zh-CN"/>
              </w:rPr>
              <w:t>t/a</w:t>
            </w:r>
            <w:r>
              <w:rPr>
                <w:rFonts w:hint="default" w:ascii="Times New Roman" w:hAnsi="Times New Roman" w:eastAsia="宋体" w:cs="Times New Roman"/>
                <w:color w:val="auto"/>
                <w:kern w:val="0"/>
                <w:sz w:val="24"/>
                <w:highlight w:val="none"/>
              </w:rPr>
              <w:t>，集中收集后</w:t>
            </w:r>
            <w:r>
              <w:rPr>
                <w:rFonts w:hint="default" w:ascii="Times New Roman" w:hAnsi="Times New Roman" w:cs="Times New Roman"/>
                <w:color w:val="auto"/>
                <w:kern w:val="0"/>
                <w:sz w:val="24"/>
                <w:highlight w:val="none"/>
                <w:lang w:eastAsia="zh-CN"/>
              </w:rPr>
              <w:t>外售当地</w:t>
            </w:r>
            <w:r>
              <w:rPr>
                <w:rFonts w:hint="default" w:ascii="Times New Roman" w:hAnsi="Times New Roman" w:eastAsia="宋体" w:cs="Times New Roman"/>
                <w:color w:val="auto"/>
                <w:kern w:val="0"/>
                <w:sz w:val="24"/>
                <w:highlight w:val="none"/>
                <w:lang w:eastAsia="zh-CN"/>
              </w:rPr>
              <w:t>废品回收站。</w:t>
            </w:r>
          </w:p>
          <w:p w14:paraId="14C4D43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eastAsia" w:ascii="Times New Roman" w:hAnsi="Times New Roman" w:eastAsia="宋体" w:cs="Times New Roman"/>
                <w:color w:val="auto"/>
                <w:kern w:val="0"/>
                <w:sz w:val="24"/>
                <w:highlight w:val="none"/>
                <w:lang w:val="en-US" w:eastAsia="zh-CN"/>
              </w:rPr>
              <w:t>布袋除尘器定期由厂家检修更换，产生的废布袋约为0.2</w:t>
            </w:r>
            <w:r>
              <w:rPr>
                <w:rFonts w:hint="default" w:ascii="Times New Roman" w:hAnsi="Times New Roman" w:eastAsia="宋体" w:cs="Times New Roman"/>
                <w:color w:val="auto"/>
                <w:kern w:val="0"/>
                <w:sz w:val="24"/>
                <w:highlight w:val="none"/>
                <w:lang w:eastAsia="zh-CN"/>
              </w:rPr>
              <w:t>t/a</w:t>
            </w:r>
            <w:r>
              <w:rPr>
                <w:rFonts w:hint="eastAsia" w:ascii="Times New Roman" w:hAnsi="Times New Roman" w:eastAsia="宋体" w:cs="Times New Roman"/>
                <w:color w:val="auto"/>
                <w:kern w:val="0"/>
                <w:sz w:val="24"/>
                <w:highlight w:val="none"/>
                <w:lang w:val="en-US" w:eastAsia="zh-CN"/>
              </w:rPr>
              <w:t>，由设备厂家回收处理。</w:t>
            </w:r>
          </w:p>
          <w:p w14:paraId="463B8B0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废渣堆存时间设计不超过3天，每天及时拉运，尽量减少在厂区堆存时间及堆存占地。灰渣库的建设方案应按照《一般工业固体废物贮存和填埋污染控制标准》（GB 18599-20</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lang w:eastAsia="zh-CN"/>
              </w:rPr>
              <w:t>）中</w:t>
            </w:r>
            <w:bookmarkStart w:id="97" w:name="hmcheck_1cdf69c62dc24f0bacace532ff4f6cc3"/>
            <w:r>
              <w:rPr>
                <w:rFonts w:hint="default" w:ascii="Times New Roman" w:hAnsi="Times New Roman" w:cs="Times New Roman"/>
                <w:color w:val="auto"/>
                <w:sz w:val="24"/>
                <w:szCs w:val="24"/>
                <w:highlight w:val="none"/>
                <w:lang w:eastAsia="zh-CN"/>
              </w:rPr>
              <w:t>第</w:t>
            </w:r>
            <w:bookmarkEnd w:id="97"/>
            <w:r>
              <w:rPr>
                <w:rFonts w:hint="default" w:ascii="Times New Roman" w:hAnsi="Times New Roman" w:cs="Times New Roman"/>
                <w:color w:val="auto"/>
                <w:sz w:val="24"/>
                <w:szCs w:val="24"/>
                <w:highlight w:val="none"/>
                <w:lang w:eastAsia="zh-CN"/>
              </w:rPr>
              <w:t>Ⅱ类一般工业固体废物的有关规定进行设计。</w:t>
            </w:r>
            <w:r>
              <w:rPr>
                <w:rFonts w:hint="default" w:ascii="Times New Roman" w:hAnsi="Times New Roman" w:cs="Times New Roman"/>
                <w:color w:val="auto"/>
                <w:sz w:val="24"/>
                <w:szCs w:val="24"/>
                <w:highlight w:val="none"/>
                <w:lang w:val="en-US" w:eastAsia="zh-CN"/>
              </w:rPr>
              <w:t>同时灰渣、脱硫石膏、飞灰在灰渣库内分区暂存。</w:t>
            </w:r>
          </w:p>
          <w:p w14:paraId="2BDD1CA3">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锅炉燃烧产生的锅炉渣、除尘灰、脱硫石膏目前多数用作建筑材料的原料，目前已经有比较成熟和稳定的处置方向。本项目固体废物在灰渣库内暂存后，定期外售给附近县市的建筑建材公司用作原料是可行的，采取上述措施后，工程产生的固体废物全部得到妥善处置，不会对周围环境造成二次污染，措施可行。筛选的杂质全部有机质，外售给附近农户用于堆肥。故本项目生产过程产生的固体废物100%综合利用，实现废物减量化、资源化和无害化。</w:t>
            </w:r>
          </w:p>
          <w:p w14:paraId="00A6AEA0">
            <w:pPr>
              <w:bidi w:val="0"/>
              <w:spacing w:line="360" w:lineRule="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5、运营期地下水、土壤环境影响及保护措施</w:t>
            </w:r>
          </w:p>
          <w:p w14:paraId="6BD6BBE7">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5.1 运营期对地下水、土壤环境影响</w:t>
            </w:r>
          </w:p>
          <w:p w14:paraId="4C5ACF8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对于</w:t>
            </w:r>
            <w:r>
              <w:rPr>
                <w:rFonts w:hint="default" w:ascii="Times New Roman" w:hAnsi="Times New Roman" w:cs="Times New Roman"/>
                <w:color w:val="auto"/>
                <w:sz w:val="24"/>
                <w:szCs w:val="24"/>
                <w:highlight w:val="none"/>
                <w:lang w:val="en-US" w:eastAsia="zh-CN"/>
              </w:rPr>
              <w:t>沉淀池及危险废物贮存点</w:t>
            </w:r>
            <w:r>
              <w:rPr>
                <w:rFonts w:hint="default" w:ascii="Times New Roman" w:hAnsi="Times New Roman" w:cs="Times New Roman"/>
                <w:color w:val="auto"/>
                <w:sz w:val="24"/>
                <w:szCs w:val="24"/>
                <w:highlight w:val="none"/>
                <w:lang w:eastAsia="zh-CN"/>
              </w:rPr>
              <w:t>地下水防污控制原则，应坚持“注重源头控制、强化监测手段、污水集中处理、完善应急响应系统建设”的原则，其宗旨是采取主动控制，避免废水泄漏事故及防渗措施失效事故的发生，但若发生事故，则采取应急响应处理办法，尽最快速度处理，严防污染物进入地下水环境造成不良影响。</w:t>
            </w:r>
          </w:p>
          <w:p w14:paraId="338EB12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本项目严格按照根据《环境影响评价技术导则 地下水环境》（HJ610-2016）对厂区提出防渗要求及相关要求进行场地</w:t>
            </w:r>
            <w:r>
              <w:rPr>
                <w:rFonts w:hint="default" w:ascii="Times New Roman" w:hAnsi="Times New Roman" w:cs="Times New Roman"/>
                <w:color w:val="auto"/>
                <w:sz w:val="24"/>
                <w:szCs w:val="24"/>
                <w:highlight w:val="none"/>
                <w:lang w:val="en-US" w:eastAsia="zh-CN"/>
              </w:rPr>
              <w:t>防渗</w:t>
            </w:r>
            <w:r>
              <w:rPr>
                <w:rFonts w:hint="default" w:ascii="Times New Roman" w:hAnsi="Times New Roman" w:cs="Times New Roman"/>
                <w:color w:val="auto"/>
                <w:sz w:val="24"/>
                <w:szCs w:val="24"/>
                <w:highlight w:val="none"/>
                <w:lang w:eastAsia="zh-CN"/>
              </w:rPr>
              <w:t>，阻断可能引起地下水污染的途径，同时加强管理和定期检查。</w:t>
            </w:r>
          </w:p>
          <w:p w14:paraId="1B553149">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5.2 保护措施</w:t>
            </w:r>
          </w:p>
          <w:p w14:paraId="116C835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严格按照国家相关规范要求，对</w:t>
            </w:r>
            <w:r>
              <w:rPr>
                <w:rFonts w:hint="default" w:ascii="Times New Roman" w:hAnsi="Times New Roman" w:cs="Times New Roman"/>
                <w:color w:val="auto"/>
                <w:sz w:val="24"/>
                <w:szCs w:val="24"/>
                <w:highlight w:val="none"/>
                <w:lang w:val="en-US" w:eastAsia="zh-CN"/>
              </w:rPr>
              <w:t>贮存区域</w:t>
            </w:r>
            <w:r>
              <w:rPr>
                <w:rFonts w:hint="default" w:ascii="Times New Roman" w:hAnsi="Times New Roman" w:cs="Times New Roman"/>
                <w:color w:val="auto"/>
                <w:sz w:val="24"/>
                <w:szCs w:val="24"/>
                <w:highlight w:val="none"/>
                <w:lang w:eastAsia="zh-CN"/>
              </w:rPr>
              <w:t>地面采取相应</w:t>
            </w:r>
            <w:r>
              <w:rPr>
                <w:rFonts w:hint="default" w:ascii="Times New Roman" w:hAnsi="Times New Roman" w:cs="Times New Roman"/>
                <w:color w:val="auto"/>
                <w:sz w:val="24"/>
                <w:szCs w:val="24"/>
                <w:highlight w:val="none"/>
                <w:lang w:val="en-US" w:eastAsia="zh-CN"/>
              </w:rPr>
              <w:t>防渗</w:t>
            </w:r>
            <w:r>
              <w:rPr>
                <w:rFonts w:hint="default" w:ascii="Times New Roman" w:hAnsi="Times New Roman" w:cs="Times New Roman"/>
                <w:color w:val="auto"/>
                <w:sz w:val="24"/>
                <w:szCs w:val="24"/>
                <w:highlight w:val="none"/>
                <w:lang w:eastAsia="zh-CN"/>
              </w:rPr>
              <w:t>措施，以防止和降低污染物的跑、冒、滴、漏，将污染物泄漏的环境风险事故降到最低程度。</w:t>
            </w:r>
          </w:p>
          <w:p w14:paraId="7F794CF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本项目根据各功能单元是否可能造成污染及项目实际情况，</w:t>
            </w:r>
            <w:r>
              <w:rPr>
                <w:rFonts w:hint="default" w:ascii="Times New Roman" w:hAnsi="Times New Roman" w:cs="Times New Roman"/>
                <w:color w:val="auto"/>
                <w:sz w:val="24"/>
                <w:szCs w:val="24"/>
                <w:highlight w:val="none"/>
                <w:lang w:val="en-US" w:eastAsia="zh-CN"/>
              </w:rPr>
              <w:t>防渗情况详见下表4-</w:t>
            </w:r>
            <w:r>
              <w:rPr>
                <w:rFonts w:hint="eastAsia" w:ascii="Times New Roman" w:hAnsi="Times New Roman" w:cs="Times New Roman"/>
                <w:color w:val="auto"/>
                <w:sz w:val="24"/>
                <w:szCs w:val="24"/>
                <w:highlight w:val="none"/>
                <w:lang w:val="en-US" w:eastAsia="zh-CN"/>
              </w:rPr>
              <w:t>14</w:t>
            </w:r>
            <w:r>
              <w:rPr>
                <w:rFonts w:hint="default" w:ascii="Times New Roman" w:hAnsi="Times New Roman" w:cs="Times New Roman"/>
                <w:color w:val="auto"/>
                <w:sz w:val="24"/>
                <w:szCs w:val="24"/>
                <w:highlight w:val="none"/>
                <w:lang w:eastAsia="zh-CN"/>
              </w:rPr>
              <w:t>。</w:t>
            </w:r>
          </w:p>
          <w:p w14:paraId="251D3DF9">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14</w:t>
            </w:r>
            <w:r>
              <w:rPr>
                <w:rFonts w:hint="default" w:ascii="Times New Roman" w:hAnsi="Times New Roman" w:cs="Times New Roman"/>
                <w:b/>
                <w:bCs/>
                <w:color w:val="auto"/>
                <w:highlight w:val="none"/>
                <w:lang w:val="en-US" w:eastAsia="zh-CN"/>
              </w:rPr>
              <w:t xml:space="preserve">   项目防渗情况一览表</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35"/>
              <w:gridCol w:w="1890"/>
              <w:gridCol w:w="4235"/>
            </w:tblGrid>
            <w:tr w14:paraId="38086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12" w:space="0"/>
                    <w:bottom w:val="single" w:color="auto" w:sz="12" w:space="0"/>
                    <w:right w:val="single" w:color="auto" w:sz="4" w:space="0"/>
                  </w:tcBorders>
                  <w:vAlign w:val="center"/>
                </w:tcPr>
                <w:p w14:paraId="2FFA243A">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1335" w:type="dxa"/>
                  <w:tcBorders>
                    <w:top w:val="single" w:color="auto" w:sz="12" w:space="0"/>
                    <w:left w:val="single" w:color="auto" w:sz="4" w:space="0"/>
                    <w:bottom w:val="single" w:color="auto" w:sz="12" w:space="0"/>
                    <w:right w:val="single" w:color="auto" w:sz="4" w:space="0"/>
                  </w:tcBorders>
                  <w:vAlign w:val="center"/>
                </w:tcPr>
                <w:p w14:paraId="516AB8BB">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防渗分区</w:t>
                  </w:r>
                </w:p>
              </w:tc>
              <w:tc>
                <w:tcPr>
                  <w:tcW w:w="1890" w:type="dxa"/>
                  <w:tcBorders>
                    <w:top w:val="single" w:color="auto" w:sz="12" w:space="0"/>
                    <w:left w:val="single" w:color="auto" w:sz="4" w:space="0"/>
                    <w:bottom w:val="single" w:color="auto" w:sz="12" w:space="0"/>
                    <w:right w:val="single" w:color="auto" w:sz="4" w:space="0"/>
                  </w:tcBorders>
                  <w:vAlign w:val="center"/>
                </w:tcPr>
                <w:p w14:paraId="29F7B91D">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厂区区域</w:t>
                  </w:r>
                </w:p>
              </w:tc>
              <w:tc>
                <w:tcPr>
                  <w:tcW w:w="4235" w:type="dxa"/>
                  <w:tcBorders>
                    <w:top w:val="single" w:color="auto" w:sz="12" w:space="0"/>
                    <w:left w:val="single" w:color="auto" w:sz="4" w:space="0"/>
                    <w:bottom w:val="single" w:color="auto" w:sz="12" w:space="0"/>
                  </w:tcBorders>
                  <w:vAlign w:val="center"/>
                </w:tcPr>
                <w:p w14:paraId="20B9B243">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防渗技术要求</w:t>
                  </w:r>
                </w:p>
              </w:tc>
            </w:tr>
            <w:tr w14:paraId="31372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60" w:type="dxa"/>
                  <w:vMerge w:val="restart"/>
                  <w:tcBorders>
                    <w:top w:val="single" w:color="auto" w:sz="12" w:space="0"/>
                    <w:right w:val="single" w:color="auto" w:sz="4" w:space="0"/>
                  </w:tcBorders>
                  <w:vAlign w:val="center"/>
                </w:tcPr>
                <w:p w14:paraId="084978AF">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w:t>
                  </w:r>
                </w:p>
              </w:tc>
              <w:tc>
                <w:tcPr>
                  <w:tcW w:w="1335" w:type="dxa"/>
                  <w:vMerge w:val="restart"/>
                  <w:tcBorders>
                    <w:top w:val="single" w:color="auto" w:sz="12" w:space="0"/>
                    <w:left w:val="single" w:color="auto" w:sz="4" w:space="0"/>
                    <w:right w:val="single" w:color="auto" w:sz="4" w:space="0"/>
                  </w:tcBorders>
                  <w:vAlign w:val="center"/>
                </w:tcPr>
                <w:p w14:paraId="4FBEA955">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重点防渗区</w:t>
                  </w:r>
                </w:p>
              </w:tc>
              <w:tc>
                <w:tcPr>
                  <w:tcW w:w="1890" w:type="dxa"/>
                  <w:tcBorders>
                    <w:top w:val="single" w:color="auto" w:sz="12" w:space="0"/>
                    <w:left w:val="single" w:color="auto" w:sz="4" w:space="0"/>
                    <w:bottom w:val="single" w:color="auto" w:sz="4" w:space="0"/>
                    <w:right w:val="single" w:color="auto" w:sz="4" w:space="0"/>
                  </w:tcBorders>
                  <w:vAlign w:val="center"/>
                </w:tcPr>
                <w:p w14:paraId="7596A76E">
                  <w:pPr>
                    <w:pStyle w:val="35"/>
                    <w:keepNext w:val="0"/>
                    <w:keepLines w:val="0"/>
                    <w:suppressLineNumbers w:val="0"/>
                    <w:spacing w:before="0" w:beforeAutospacing="0" w:after="0" w:afterAutospacing="0" w:line="240" w:lineRule="exact"/>
                    <w:ind w:right="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危险废物贮存点</w:t>
                  </w:r>
                </w:p>
              </w:tc>
              <w:tc>
                <w:tcPr>
                  <w:tcW w:w="4235" w:type="dxa"/>
                  <w:tcBorders>
                    <w:top w:val="single" w:color="auto" w:sz="12" w:space="0"/>
                    <w:left w:val="single" w:color="auto" w:sz="4" w:space="0"/>
                    <w:bottom w:val="single" w:color="auto" w:sz="4" w:space="0"/>
                  </w:tcBorders>
                  <w:vAlign w:val="center"/>
                </w:tcPr>
                <w:p w14:paraId="7C654241">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防渗层为至少1m厚黏土层（渗透系数不大于10</w:t>
                  </w:r>
                  <w:r>
                    <w:rPr>
                      <w:rFonts w:hint="default" w:ascii="Times New Roman" w:hAnsi="Times New Roman" w:cs="Times New Roman"/>
                      <w:b w:val="0"/>
                      <w:bCs w:val="0"/>
                      <w:color w:val="auto"/>
                      <w:sz w:val="21"/>
                      <w:szCs w:val="21"/>
                      <w:highlight w:val="none"/>
                      <w:vertAlign w:val="superscript"/>
                    </w:rPr>
                    <w:t>-7</w:t>
                  </w:r>
                  <w:r>
                    <w:rPr>
                      <w:rFonts w:hint="default" w:ascii="Times New Roman" w:hAnsi="Times New Roman" w:cs="Times New Roman"/>
                      <w:b w:val="0"/>
                      <w:bCs w:val="0"/>
                      <w:color w:val="auto"/>
                      <w:sz w:val="21"/>
                      <w:szCs w:val="21"/>
                      <w:highlight w:val="none"/>
                    </w:rPr>
                    <w:t xml:space="preserve"> cm/s），或至少2mm厚高密度聚乙烯膜等人工防渗材料（渗透系数不大于10</w:t>
                  </w:r>
                  <w:r>
                    <w:rPr>
                      <w:rFonts w:hint="default" w:ascii="Times New Roman" w:hAnsi="Times New Roman" w:cs="Times New Roman"/>
                      <w:b w:val="0"/>
                      <w:bCs w:val="0"/>
                      <w:color w:val="auto"/>
                      <w:sz w:val="21"/>
                      <w:szCs w:val="21"/>
                      <w:highlight w:val="none"/>
                      <w:vertAlign w:val="superscript"/>
                    </w:rPr>
                    <w:t>-10</w:t>
                  </w:r>
                  <w:r>
                    <w:rPr>
                      <w:rFonts w:hint="default" w:ascii="Times New Roman" w:hAnsi="Times New Roman" w:cs="Times New Roman"/>
                      <w:b w:val="0"/>
                      <w:bCs w:val="0"/>
                      <w:color w:val="auto"/>
                      <w:sz w:val="21"/>
                      <w:szCs w:val="21"/>
                      <w:highlight w:val="none"/>
                    </w:rPr>
                    <w:t>cm/s），或其他防渗性能等效的材料。</w:t>
                  </w:r>
                </w:p>
              </w:tc>
            </w:tr>
            <w:tr w14:paraId="4FF7B3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Merge w:val="continue"/>
                  <w:tcBorders>
                    <w:bottom w:val="single" w:color="auto" w:sz="4" w:space="0"/>
                    <w:right w:val="single" w:color="auto" w:sz="4" w:space="0"/>
                  </w:tcBorders>
                  <w:vAlign w:val="center"/>
                </w:tcPr>
                <w:p w14:paraId="45ADD430">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p>
              </w:tc>
              <w:tc>
                <w:tcPr>
                  <w:tcW w:w="1335" w:type="dxa"/>
                  <w:vMerge w:val="continue"/>
                  <w:tcBorders>
                    <w:left w:val="single" w:color="auto" w:sz="4" w:space="0"/>
                    <w:bottom w:val="single" w:color="auto" w:sz="4" w:space="0"/>
                    <w:right w:val="single" w:color="auto" w:sz="4" w:space="0"/>
                  </w:tcBorders>
                  <w:vAlign w:val="center"/>
                </w:tcPr>
                <w:p w14:paraId="7EF7B2F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center"/>
                </w:tcPr>
                <w:p w14:paraId="29A3326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化粪池、灰渣池、脱硫废水循环池</w:t>
                  </w:r>
                </w:p>
              </w:tc>
              <w:tc>
                <w:tcPr>
                  <w:tcW w:w="4235" w:type="dxa"/>
                  <w:tcBorders>
                    <w:top w:val="single" w:color="auto" w:sz="4" w:space="0"/>
                    <w:left w:val="single" w:color="auto" w:sz="4" w:space="0"/>
                    <w:bottom w:val="single" w:color="auto" w:sz="4" w:space="0"/>
                  </w:tcBorders>
                  <w:vAlign w:val="center"/>
                </w:tcPr>
                <w:p w14:paraId="1583EC69">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等效</w:t>
                  </w:r>
                  <w:r>
                    <w:rPr>
                      <w:rFonts w:hint="default" w:ascii="Times New Roman" w:hAnsi="Times New Roman" w:cs="Times New Roman"/>
                      <w:b w:val="0"/>
                      <w:bCs w:val="0"/>
                      <w:color w:val="auto"/>
                      <w:sz w:val="21"/>
                      <w:szCs w:val="21"/>
                      <w:highlight w:val="none"/>
                      <w:lang w:eastAsia="zh-CN"/>
                    </w:rPr>
                    <w:t>黏土</w:t>
                  </w:r>
                  <w:r>
                    <w:rPr>
                      <w:rFonts w:hint="default" w:ascii="Times New Roman" w:hAnsi="Times New Roman" w:cs="Times New Roman"/>
                      <w:b w:val="0"/>
                      <w:bCs w:val="0"/>
                      <w:color w:val="auto"/>
                      <w:sz w:val="21"/>
                      <w:szCs w:val="21"/>
                      <w:highlight w:val="none"/>
                    </w:rPr>
                    <w:t>防渗层Mb≥6.0m，K≤1×10</w:t>
                  </w:r>
                  <w:r>
                    <w:rPr>
                      <w:rFonts w:hint="default" w:ascii="Times New Roman" w:hAnsi="Times New Roman" w:cs="Times New Roman"/>
                      <w:b w:val="0"/>
                      <w:bCs w:val="0"/>
                      <w:color w:val="auto"/>
                      <w:sz w:val="21"/>
                      <w:szCs w:val="21"/>
                      <w:highlight w:val="none"/>
                      <w:vertAlign w:val="superscript"/>
                    </w:rPr>
                    <w:t>-7</w:t>
                  </w:r>
                  <w:r>
                    <w:rPr>
                      <w:rFonts w:hint="default" w:ascii="Times New Roman" w:hAnsi="Times New Roman" w:cs="Times New Roman"/>
                      <w:b w:val="0"/>
                      <w:bCs w:val="0"/>
                      <w:color w:val="auto"/>
                      <w:sz w:val="21"/>
                      <w:szCs w:val="21"/>
                      <w:highlight w:val="none"/>
                    </w:rPr>
                    <w:t>cm/s</w:t>
                  </w:r>
                </w:p>
              </w:tc>
            </w:tr>
            <w:tr w14:paraId="66FB5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bottom w:val="single" w:color="auto" w:sz="4" w:space="0"/>
                    <w:right w:val="single" w:color="auto" w:sz="4" w:space="0"/>
                  </w:tcBorders>
                  <w:vAlign w:val="center"/>
                </w:tcPr>
                <w:p w14:paraId="11186C91">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w:t>
                  </w:r>
                </w:p>
              </w:tc>
              <w:tc>
                <w:tcPr>
                  <w:tcW w:w="1335" w:type="dxa"/>
                  <w:tcBorders>
                    <w:top w:val="single" w:color="auto" w:sz="4" w:space="0"/>
                    <w:left w:val="single" w:color="auto" w:sz="4" w:space="0"/>
                    <w:bottom w:val="single" w:color="auto" w:sz="4" w:space="0"/>
                    <w:right w:val="single" w:color="auto" w:sz="4" w:space="0"/>
                  </w:tcBorders>
                  <w:vAlign w:val="center"/>
                </w:tcPr>
                <w:p w14:paraId="61DBC870">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一般防渗区</w:t>
                  </w:r>
                </w:p>
              </w:tc>
              <w:tc>
                <w:tcPr>
                  <w:tcW w:w="1890" w:type="dxa"/>
                  <w:tcBorders>
                    <w:top w:val="single" w:color="auto" w:sz="4" w:space="0"/>
                    <w:left w:val="single" w:color="auto" w:sz="4" w:space="0"/>
                    <w:bottom w:val="single" w:color="auto" w:sz="4" w:space="0"/>
                    <w:right w:val="single" w:color="auto" w:sz="4" w:space="0"/>
                  </w:tcBorders>
                  <w:vAlign w:val="center"/>
                </w:tcPr>
                <w:p w14:paraId="5DFB7E4C">
                  <w:pPr>
                    <w:pStyle w:val="35"/>
                    <w:keepNext w:val="0"/>
                    <w:keepLines w:val="0"/>
                    <w:suppressLineNumbers w:val="0"/>
                    <w:spacing w:before="0" w:beforeAutospacing="0" w:after="0" w:afterAutospacing="0" w:line="240" w:lineRule="exact"/>
                    <w:ind w:right="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生产区、热风炉、灰渣库</w:t>
                  </w:r>
                </w:p>
              </w:tc>
              <w:tc>
                <w:tcPr>
                  <w:tcW w:w="4235" w:type="dxa"/>
                  <w:tcBorders>
                    <w:top w:val="single" w:color="auto" w:sz="4" w:space="0"/>
                    <w:left w:val="single" w:color="auto" w:sz="4" w:space="0"/>
                    <w:bottom w:val="single" w:color="auto" w:sz="4" w:space="0"/>
                  </w:tcBorders>
                  <w:vAlign w:val="center"/>
                </w:tcPr>
                <w:p w14:paraId="3C167329">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等效</w:t>
                  </w:r>
                  <w:r>
                    <w:rPr>
                      <w:rFonts w:hint="default" w:ascii="Times New Roman" w:hAnsi="Times New Roman" w:cs="Times New Roman"/>
                      <w:b w:val="0"/>
                      <w:bCs w:val="0"/>
                      <w:color w:val="auto"/>
                      <w:sz w:val="21"/>
                      <w:szCs w:val="21"/>
                      <w:highlight w:val="none"/>
                      <w:lang w:eastAsia="zh-CN"/>
                    </w:rPr>
                    <w:t>黏土</w:t>
                  </w:r>
                  <w:r>
                    <w:rPr>
                      <w:rFonts w:hint="default" w:ascii="Times New Roman" w:hAnsi="Times New Roman" w:cs="Times New Roman"/>
                      <w:b w:val="0"/>
                      <w:bCs w:val="0"/>
                      <w:color w:val="auto"/>
                      <w:sz w:val="21"/>
                      <w:szCs w:val="21"/>
                      <w:highlight w:val="none"/>
                    </w:rPr>
                    <w:t>防渗层Mb≥1.5m，K≤1×10</w:t>
                  </w:r>
                  <w:r>
                    <w:rPr>
                      <w:rFonts w:hint="default" w:ascii="Times New Roman" w:hAnsi="Times New Roman" w:cs="Times New Roman"/>
                      <w:b w:val="0"/>
                      <w:bCs w:val="0"/>
                      <w:color w:val="auto"/>
                      <w:sz w:val="21"/>
                      <w:szCs w:val="21"/>
                      <w:highlight w:val="none"/>
                      <w:vertAlign w:val="superscript"/>
                    </w:rPr>
                    <w:t>-7</w:t>
                  </w:r>
                  <w:r>
                    <w:rPr>
                      <w:rFonts w:hint="default" w:ascii="Times New Roman" w:hAnsi="Times New Roman" w:cs="Times New Roman"/>
                      <w:b w:val="0"/>
                      <w:bCs w:val="0"/>
                      <w:color w:val="auto"/>
                      <w:sz w:val="21"/>
                      <w:szCs w:val="21"/>
                      <w:highlight w:val="none"/>
                    </w:rPr>
                    <w:t>cm/s</w:t>
                  </w:r>
                </w:p>
              </w:tc>
            </w:tr>
            <w:tr w14:paraId="5CA01E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dxa"/>
                  <w:tcBorders>
                    <w:top w:val="single" w:color="auto" w:sz="4" w:space="0"/>
                    <w:bottom w:val="single" w:color="auto" w:sz="12" w:space="0"/>
                    <w:right w:val="single" w:color="auto" w:sz="4" w:space="0"/>
                  </w:tcBorders>
                  <w:vAlign w:val="center"/>
                </w:tcPr>
                <w:p w14:paraId="6B3888F9">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w:t>
                  </w:r>
                </w:p>
              </w:tc>
              <w:tc>
                <w:tcPr>
                  <w:tcW w:w="1335" w:type="dxa"/>
                  <w:tcBorders>
                    <w:top w:val="single" w:color="auto" w:sz="4" w:space="0"/>
                    <w:left w:val="single" w:color="auto" w:sz="4" w:space="0"/>
                    <w:bottom w:val="single" w:color="auto" w:sz="12" w:space="0"/>
                    <w:right w:val="single" w:color="auto" w:sz="4" w:space="0"/>
                  </w:tcBorders>
                  <w:vAlign w:val="center"/>
                </w:tcPr>
                <w:p w14:paraId="2CADD5A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简单防渗区</w:t>
                  </w:r>
                </w:p>
              </w:tc>
              <w:tc>
                <w:tcPr>
                  <w:tcW w:w="1890" w:type="dxa"/>
                  <w:tcBorders>
                    <w:top w:val="single" w:color="auto" w:sz="4" w:space="0"/>
                    <w:left w:val="single" w:color="auto" w:sz="4" w:space="0"/>
                    <w:bottom w:val="single" w:color="auto" w:sz="12" w:space="0"/>
                    <w:right w:val="single" w:color="auto" w:sz="4" w:space="0"/>
                  </w:tcBorders>
                  <w:vAlign w:val="center"/>
                </w:tcPr>
                <w:p w14:paraId="212B6F4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厂区其他区域</w:t>
                  </w:r>
                </w:p>
              </w:tc>
              <w:tc>
                <w:tcPr>
                  <w:tcW w:w="4235" w:type="dxa"/>
                  <w:tcBorders>
                    <w:top w:val="single" w:color="auto" w:sz="4" w:space="0"/>
                    <w:left w:val="single" w:color="auto" w:sz="4" w:space="0"/>
                    <w:bottom w:val="single" w:color="auto" w:sz="12" w:space="0"/>
                  </w:tcBorders>
                  <w:vAlign w:val="center"/>
                </w:tcPr>
                <w:p w14:paraId="60F31A3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一般地面硬化</w:t>
                  </w:r>
                </w:p>
              </w:tc>
            </w:tr>
          </w:tbl>
          <w:p w14:paraId="3F2DCAE0">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对于重点防治污染区执行地面防渗设计；要求防渗等级不大于1.0×10</w:t>
            </w:r>
            <w:r>
              <w:rPr>
                <w:rFonts w:hint="default" w:ascii="Times New Roman" w:hAnsi="Times New Roman" w:cs="Times New Roman"/>
                <w:color w:val="auto"/>
                <w:sz w:val="24"/>
                <w:szCs w:val="24"/>
                <w:highlight w:val="none"/>
                <w:vertAlign w:val="superscript"/>
              </w:rPr>
              <w:t>-12</w:t>
            </w:r>
            <w:r>
              <w:rPr>
                <w:rFonts w:hint="default" w:ascii="Times New Roman" w:hAnsi="Times New Roman" w:cs="Times New Roman"/>
                <w:color w:val="auto"/>
                <w:sz w:val="24"/>
                <w:szCs w:val="24"/>
                <w:highlight w:val="none"/>
              </w:rPr>
              <w:t>cm/s，可采用现浇防渗钢筋钢纤维混凝土层（渗透系数不大于1.0×10</w:t>
            </w:r>
            <w:r>
              <w:rPr>
                <w:rFonts w:hint="default" w:ascii="Times New Roman" w:hAnsi="Times New Roman" w:cs="Times New Roman"/>
                <w:color w:val="auto"/>
                <w:sz w:val="24"/>
                <w:szCs w:val="24"/>
                <w:highlight w:val="none"/>
                <w:vertAlign w:val="superscript"/>
              </w:rPr>
              <w:t>-12</w:t>
            </w:r>
            <w:r>
              <w:rPr>
                <w:rFonts w:hint="default" w:ascii="Times New Roman" w:hAnsi="Times New Roman" w:cs="Times New Roman"/>
                <w:color w:val="auto"/>
                <w:sz w:val="24"/>
                <w:szCs w:val="24"/>
                <w:highlight w:val="none"/>
              </w:rPr>
              <w:t>cm/s）、防渗涂料面层（渗透系数不大于1.0×10</w:t>
            </w:r>
            <w:r>
              <w:rPr>
                <w:rFonts w:hint="default" w:ascii="Times New Roman" w:hAnsi="Times New Roman" w:cs="Times New Roman"/>
                <w:color w:val="auto"/>
                <w:sz w:val="24"/>
                <w:szCs w:val="24"/>
                <w:highlight w:val="none"/>
                <w:vertAlign w:val="superscript"/>
              </w:rPr>
              <w:t>-12</w:t>
            </w:r>
            <w:r>
              <w:rPr>
                <w:rFonts w:hint="default" w:ascii="Times New Roman" w:hAnsi="Times New Roman" w:cs="Times New Roman"/>
                <w:color w:val="auto"/>
                <w:sz w:val="24"/>
                <w:szCs w:val="24"/>
                <w:highlight w:val="none"/>
              </w:rPr>
              <w:t>cm/s）。</w:t>
            </w:r>
          </w:p>
          <w:p w14:paraId="742D0D94">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对于一般污染防治区，参照《一般工业固体废物贮存和填埋污染控制标准》（GB 18599-2020）Ⅱ</w:t>
            </w:r>
            <w:bookmarkStart w:id="98" w:name="hmcheck_7a70c7e8e4ea49a4bb980db19409353b"/>
            <w:bookmarkStart w:id="99" w:name="hmcheck_eb2c40288ef74519b06cfa034c852736"/>
            <w:r>
              <w:rPr>
                <w:rFonts w:hint="default" w:ascii="Times New Roman" w:hAnsi="Times New Roman" w:cs="Times New Roman"/>
                <w:color w:val="auto"/>
                <w:sz w:val="24"/>
                <w:szCs w:val="24"/>
                <w:highlight w:val="none"/>
              </w:rPr>
              <w:t>类</w:t>
            </w:r>
            <w:bookmarkEnd w:id="98"/>
            <w:bookmarkEnd w:id="99"/>
            <w:r>
              <w:rPr>
                <w:rFonts w:hint="default" w:ascii="Times New Roman" w:hAnsi="Times New Roman" w:cs="Times New Roman"/>
                <w:color w:val="auto"/>
                <w:sz w:val="24"/>
                <w:szCs w:val="24"/>
                <w:highlight w:val="none"/>
              </w:rPr>
              <w:t>场进行设计。一般固体废物暂存处、仓储车间天然基础层的渗透系数均大于1.0×10</w:t>
            </w:r>
            <w:r>
              <w:rPr>
                <w:rFonts w:hint="default" w:ascii="Times New Roman" w:hAnsi="Times New Roman" w:cs="Times New Roman"/>
                <w:color w:val="auto"/>
                <w:sz w:val="24"/>
                <w:szCs w:val="24"/>
                <w:highlight w:val="none"/>
                <w:vertAlign w:val="superscript"/>
              </w:rPr>
              <w:t>-7</w:t>
            </w:r>
            <w:r>
              <w:rPr>
                <w:rFonts w:hint="default" w:ascii="Times New Roman" w:hAnsi="Times New Roman" w:cs="Times New Roman"/>
                <w:color w:val="auto"/>
                <w:sz w:val="24"/>
                <w:szCs w:val="24"/>
                <w:highlight w:val="none"/>
              </w:rPr>
              <w:t>cm/s，因此应采用天然或人工材料构筑防渗层，防渗层的厚度应相当于渗透系数1.0×10</w:t>
            </w:r>
            <w:r>
              <w:rPr>
                <w:rFonts w:hint="default" w:ascii="Times New Roman" w:hAnsi="Times New Roman" w:cs="Times New Roman"/>
                <w:color w:val="auto"/>
                <w:sz w:val="24"/>
                <w:szCs w:val="24"/>
                <w:highlight w:val="none"/>
                <w:vertAlign w:val="superscript"/>
              </w:rPr>
              <w:t>-7</w:t>
            </w:r>
            <w:r>
              <w:rPr>
                <w:rFonts w:hint="default" w:ascii="Times New Roman" w:hAnsi="Times New Roman" w:cs="Times New Roman"/>
                <w:color w:val="auto"/>
                <w:sz w:val="24"/>
                <w:szCs w:val="24"/>
                <w:highlight w:val="none"/>
              </w:rPr>
              <w:t>cm/s和厚度1.5m的</w:t>
            </w:r>
            <w:r>
              <w:rPr>
                <w:rFonts w:hint="default" w:ascii="Times New Roman" w:hAnsi="Times New Roman" w:cs="Times New Roman"/>
                <w:color w:val="auto"/>
                <w:sz w:val="24"/>
                <w:szCs w:val="24"/>
                <w:highlight w:val="none"/>
                <w:lang w:eastAsia="zh-CN"/>
              </w:rPr>
              <w:t>黏土层</w:t>
            </w:r>
            <w:r>
              <w:rPr>
                <w:rFonts w:hint="default" w:ascii="Times New Roman" w:hAnsi="Times New Roman" w:cs="Times New Roman"/>
                <w:color w:val="auto"/>
                <w:sz w:val="24"/>
                <w:szCs w:val="24"/>
                <w:highlight w:val="none"/>
              </w:rPr>
              <w:t>的防渗性能。</w:t>
            </w:r>
            <w:r>
              <w:rPr>
                <w:rFonts w:hint="default" w:ascii="Times New Roman" w:hAnsi="Times New Roman" w:cs="Times New Roman"/>
                <w:color w:val="auto"/>
                <w:sz w:val="24"/>
                <w:szCs w:val="24"/>
                <w:highlight w:val="none"/>
                <w:lang w:val="en-US" w:eastAsia="zh-CN"/>
              </w:rPr>
              <w:t>一般采用现浇防渗混凝土层即可满足相应标准。</w:t>
            </w:r>
          </w:p>
          <w:p w14:paraId="1230705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对于基本上不产生污染物的非污染防治区，不采取专门针对地下水污染的防治措施。通过上述措施，可大大减少污染物进入地下水的可能性。</w:t>
            </w:r>
          </w:p>
          <w:p w14:paraId="0574BC8D">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综上，本项目产生的</w:t>
            </w:r>
            <w:r>
              <w:rPr>
                <w:rFonts w:hint="default" w:ascii="Times New Roman" w:hAnsi="Times New Roman" w:cs="Times New Roman"/>
                <w:color w:val="auto"/>
                <w:sz w:val="24"/>
                <w:szCs w:val="24"/>
                <w:highlight w:val="none"/>
                <w:lang w:val="en-US" w:eastAsia="zh-CN"/>
              </w:rPr>
              <w:t>生活污水经化粪池预处理后委托当地吸污车</w:t>
            </w:r>
            <w:r>
              <w:rPr>
                <w:rFonts w:hint="eastAsia" w:ascii="Times New Roman" w:hAnsi="Times New Roman" w:cs="Times New Roman"/>
                <w:color w:val="auto"/>
                <w:sz w:val="24"/>
                <w:szCs w:val="24"/>
                <w:highlight w:val="none"/>
                <w:lang w:val="en-US" w:eastAsia="zh-CN"/>
              </w:rPr>
              <w:t>拉运</w:t>
            </w:r>
            <w:r>
              <w:rPr>
                <w:rFonts w:hint="default" w:ascii="Times New Roman" w:hAnsi="Times New Roman" w:cs="Times New Roman"/>
                <w:color w:val="auto"/>
                <w:sz w:val="24"/>
                <w:szCs w:val="24"/>
                <w:highlight w:val="none"/>
                <w:lang w:val="en-US" w:eastAsia="zh-CN"/>
              </w:rPr>
              <w:t>至</w:t>
            </w:r>
            <w:r>
              <w:rPr>
                <w:rFonts w:hint="eastAsia" w:ascii="Times New Roman" w:hAnsi="Times New Roman" w:cs="Times New Roman"/>
                <w:color w:val="auto"/>
                <w:sz w:val="24"/>
                <w:szCs w:val="24"/>
                <w:highlight w:val="none"/>
                <w:lang w:val="en-US" w:eastAsia="zh-CN"/>
              </w:rPr>
              <w:t>第七师129团</w:t>
            </w:r>
            <w:r>
              <w:rPr>
                <w:rFonts w:hint="default" w:ascii="Times New Roman" w:hAnsi="Times New Roman" w:cs="Times New Roman"/>
                <w:color w:val="auto"/>
                <w:sz w:val="24"/>
                <w:szCs w:val="24"/>
                <w:highlight w:val="none"/>
                <w:lang w:val="en-US" w:eastAsia="zh-CN"/>
              </w:rPr>
              <w:t>污水处理厂统一处理</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危险废物贮存点重点防渗，</w:t>
            </w:r>
            <w:r>
              <w:rPr>
                <w:rFonts w:hint="default" w:ascii="Times New Roman" w:hAnsi="Times New Roman" w:cs="Times New Roman"/>
                <w:color w:val="auto"/>
                <w:sz w:val="24"/>
                <w:szCs w:val="24"/>
                <w:highlight w:val="none"/>
              </w:rPr>
              <w:t>各个地下水污染区按照上述要求设置防渗、导流措施。对项目区的水环境影响是可接受的。</w:t>
            </w:r>
          </w:p>
          <w:p w14:paraId="6CF8457B">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5.3 跟踪监测</w:t>
            </w:r>
          </w:p>
          <w:p w14:paraId="6FB52A3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根据污染影响类指南相关章节要求，本项目在采取分区防渗、应急收集等措施下，不存在地下水、土壤污染途径，故本次不提出地下水、土壤跟踪监测的要求</w:t>
            </w:r>
            <w:r>
              <w:rPr>
                <w:rFonts w:hint="default" w:ascii="Times New Roman" w:hAnsi="Times New Roman" w:cs="Times New Roman"/>
                <w:color w:val="auto"/>
                <w:sz w:val="24"/>
                <w:szCs w:val="24"/>
                <w:highlight w:val="none"/>
                <w:lang w:eastAsia="zh-CN"/>
              </w:rPr>
              <w:t>。</w:t>
            </w:r>
          </w:p>
          <w:p w14:paraId="5B1A17A1">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、环境风险分析</w:t>
            </w:r>
          </w:p>
          <w:p w14:paraId="37ED9441">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6.1 风险物质及风险源分布情况</w:t>
            </w:r>
          </w:p>
          <w:p w14:paraId="2F2F9D4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6.1.1</w:t>
            </w:r>
            <w:r>
              <w:rPr>
                <w:rFonts w:hint="default" w:ascii="Times New Roman" w:hAnsi="Times New Roman" w:cs="Times New Roman"/>
                <w:color w:val="auto"/>
                <w:sz w:val="24"/>
                <w:szCs w:val="24"/>
                <w:highlight w:val="none"/>
                <w:lang w:eastAsia="zh-CN"/>
              </w:rPr>
              <w:t>主要风险物质识别</w:t>
            </w:r>
          </w:p>
          <w:p w14:paraId="3361A82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（1）有毒有害气体：本项目无有毒有害气体产生。</w:t>
            </w:r>
          </w:p>
          <w:p w14:paraId="256E2C1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（2）易燃易爆物：本项目危险废物暂存间储存少量废机油，最大储量以0.</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计。</w:t>
            </w:r>
          </w:p>
          <w:p w14:paraId="0E219D4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本项目危险化学品特性见下表。</w:t>
            </w:r>
          </w:p>
          <w:p w14:paraId="30FE7A7C">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15</w:t>
            </w:r>
            <w:r>
              <w:rPr>
                <w:rFonts w:hint="default" w:ascii="Times New Roman" w:hAnsi="Times New Roman" w:cs="Times New Roman"/>
                <w:b/>
                <w:bCs/>
                <w:color w:val="auto"/>
                <w:highlight w:val="none"/>
                <w:lang w:val="en-US" w:eastAsia="zh-CN"/>
              </w:rPr>
              <w:t xml:space="preserve">   项目化学品危险特性表</w:t>
            </w:r>
          </w:p>
          <w:tbl>
            <w:tblPr>
              <w:tblStyle w:val="19"/>
              <w:tblW w:w="835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6" w:type="dxa"/>
                <w:bottom w:w="0" w:type="dxa"/>
                <w:right w:w="0" w:type="dxa"/>
              </w:tblCellMar>
            </w:tblPr>
            <w:tblGrid>
              <w:gridCol w:w="659"/>
              <w:gridCol w:w="1683"/>
              <w:gridCol w:w="6013"/>
            </w:tblGrid>
            <w:tr w14:paraId="39F019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170" w:hRule="atLeast"/>
                <w:jc w:val="center"/>
              </w:trPr>
              <w:tc>
                <w:tcPr>
                  <w:tcW w:w="659" w:type="dxa"/>
                  <w:tcBorders>
                    <w:bottom w:val="single" w:color="000000" w:sz="12" w:space="0"/>
                  </w:tcBorders>
                  <w:noWrap/>
                  <w:vAlign w:val="center"/>
                </w:tcPr>
                <w:p w14:paraId="7588D81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名称</w:t>
                  </w:r>
                </w:p>
              </w:tc>
              <w:tc>
                <w:tcPr>
                  <w:tcW w:w="1683" w:type="dxa"/>
                  <w:tcBorders>
                    <w:bottom w:val="single" w:color="000000" w:sz="12" w:space="0"/>
                  </w:tcBorders>
                  <w:noWrap/>
                  <w:vAlign w:val="center"/>
                </w:tcPr>
                <w:p w14:paraId="12FA04C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中文名称</w:t>
                  </w:r>
                </w:p>
              </w:tc>
              <w:tc>
                <w:tcPr>
                  <w:tcW w:w="6013" w:type="dxa"/>
                  <w:tcBorders>
                    <w:bottom w:val="single" w:color="000000" w:sz="12" w:space="0"/>
                  </w:tcBorders>
                  <w:noWrap/>
                  <w:vAlign w:val="center"/>
                </w:tcPr>
                <w:p w14:paraId="111B011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机油、润滑油</w:t>
                  </w:r>
                </w:p>
              </w:tc>
            </w:tr>
            <w:tr w14:paraId="634E90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restart"/>
                  <w:tcBorders>
                    <w:top w:val="single" w:color="000000" w:sz="12" w:space="0"/>
                  </w:tcBorders>
                  <w:noWrap/>
                  <w:vAlign w:val="center"/>
                </w:tcPr>
                <w:p w14:paraId="24AB5B4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理化性质</w:t>
                  </w:r>
                </w:p>
              </w:tc>
              <w:tc>
                <w:tcPr>
                  <w:tcW w:w="1683" w:type="dxa"/>
                  <w:tcBorders>
                    <w:top w:val="single" w:color="000000" w:sz="12" w:space="0"/>
                  </w:tcBorders>
                  <w:noWrap/>
                  <w:vAlign w:val="center"/>
                </w:tcPr>
                <w:p w14:paraId="3B93C64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外观与形状</w:t>
                  </w:r>
                </w:p>
              </w:tc>
              <w:tc>
                <w:tcPr>
                  <w:tcW w:w="6013" w:type="dxa"/>
                  <w:tcBorders>
                    <w:top w:val="single" w:color="000000" w:sz="12" w:space="0"/>
                  </w:tcBorders>
                  <w:noWrap/>
                  <w:vAlign w:val="center"/>
                </w:tcPr>
                <w:p w14:paraId="31205D8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浅黄色</w:t>
                  </w:r>
                  <w:r>
                    <w:rPr>
                      <w:rFonts w:hint="default" w:ascii="Times New Roman" w:hAnsi="Times New Roman" w:cs="Times New Roman"/>
                      <w:b w:val="0"/>
                      <w:bCs w:val="0"/>
                      <w:color w:val="auto"/>
                      <w:sz w:val="21"/>
                      <w:szCs w:val="21"/>
                      <w:highlight w:val="none"/>
                      <w:lang w:eastAsia="zh-CN"/>
                    </w:rPr>
                    <w:t>黏稠</w:t>
                  </w:r>
                  <w:r>
                    <w:rPr>
                      <w:rFonts w:hint="default" w:ascii="Times New Roman" w:hAnsi="Times New Roman" w:cs="Times New Roman"/>
                      <w:b w:val="0"/>
                      <w:bCs w:val="0"/>
                      <w:color w:val="auto"/>
                      <w:sz w:val="21"/>
                      <w:szCs w:val="21"/>
                      <w:highlight w:val="none"/>
                    </w:rPr>
                    <w:t>液体</w:t>
                  </w:r>
                </w:p>
              </w:tc>
            </w:tr>
            <w:tr w14:paraId="4FDBE5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6205CB2A">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770674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相对密度（水=1）</w:t>
                  </w:r>
                </w:p>
              </w:tc>
              <w:tc>
                <w:tcPr>
                  <w:tcW w:w="6013" w:type="dxa"/>
                  <w:noWrap/>
                  <w:vAlign w:val="center"/>
                </w:tcPr>
                <w:p w14:paraId="5C4F4CE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0.875</w:t>
                  </w:r>
                </w:p>
              </w:tc>
            </w:tr>
            <w:tr w14:paraId="68FEAA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32959217">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3F2A2A2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凝固点（℃）</w:t>
                  </w:r>
                </w:p>
              </w:tc>
              <w:tc>
                <w:tcPr>
                  <w:tcW w:w="6013" w:type="dxa"/>
                  <w:noWrap/>
                  <w:vAlign w:val="center"/>
                </w:tcPr>
                <w:p w14:paraId="35CFD40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＜-18</w:t>
                  </w:r>
                </w:p>
              </w:tc>
            </w:tr>
            <w:tr w14:paraId="29041D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26EED59A">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43A96D2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沸点（℃）</w:t>
                  </w:r>
                </w:p>
              </w:tc>
              <w:tc>
                <w:tcPr>
                  <w:tcW w:w="6013" w:type="dxa"/>
                  <w:noWrap/>
                  <w:vAlign w:val="center"/>
                </w:tcPr>
                <w:p w14:paraId="6125CDA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240~400</w:t>
                  </w:r>
                </w:p>
              </w:tc>
            </w:tr>
            <w:tr w14:paraId="776E42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1B407250">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86BBFB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闪点（℃）</w:t>
                  </w:r>
                </w:p>
              </w:tc>
              <w:tc>
                <w:tcPr>
                  <w:tcW w:w="6013" w:type="dxa"/>
                  <w:noWrap/>
                  <w:vAlign w:val="center"/>
                </w:tcPr>
                <w:p w14:paraId="1DB009B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＞200</w:t>
                  </w:r>
                </w:p>
              </w:tc>
            </w:tr>
            <w:tr w14:paraId="0CF66E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57FE07ED">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11FB35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引燃温度（℃）</w:t>
                  </w:r>
                </w:p>
              </w:tc>
              <w:tc>
                <w:tcPr>
                  <w:tcW w:w="6013" w:type="dxa"/>
                  <w:noWrap/>
                  <w:vAlign w:val="center"/>
                </w:tcPr>
                <w:p w14:paraId="3435449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＞250</w:t>
                  </w:r>
                </w:p>
              </w:tc>
            </w:tr>
            <w:tr w14:paraId="78FB96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25CA1198">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43FD0A4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饱和蒸汽压（KPa）</w:t>
                  </w:r>
                </w:p>
              </w:tc>
              <w:tc>
                <w:tcPr>
                  <w:tcW w:w="6013" w:type="dxa"/>
                  <w:noWrap/>
                  <w:vAlign w:val="center"/>
                </w:tcPr>
                <w:p w14:paraId="1BA1E06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0.17（145.8℃）</w:t>
                  </w:r>
                </w:p>
              </w:tc>
            </w:tr>
            <w:tr w14:paraId="4A109A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restart"/>
                  <w:noWrap/>
                  <w:vAlign w:val="center"/>
                </w:tcPr>
                <w:p w14:paraId="25F5872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爆炸特性与消防</w:t>
                  </w:r>
                </w:p>
              </w:tc>
              <w:tc>
                <w:tcPr>
                  <w:tcW w:w="1683" w:type="dxa"/>
                  <w:noWrap/>
                  <w:vAlign w:val="center"/>
                </w:tcPr>
                <w:p w14:paraId="5DA94BD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燃烧分解产物</w:t>
                  </w:r>
                </w:p>
              </w:tc>
              <w:tc>
                <w:tcPr>
                  <w:tcW w:w="6013" w:type="dxa"/>
                  <w:noWrap/>
                  <w:vAlign w:val="center"/>
                </w:tcPr>
                <w:p w14:paraId="229391A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一氧化碳、二氧化碳</w:t>
                  </w:r>
                </w:p>
              </w:tc>
            </w:tr>
            <w:tr w14:paraId="156C1E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5A1C9009">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3FD4063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燃烧性</w:t>
                  </w:r>
                </w:p>
              </w:tc>
              <w:tc>
                <w:tcPr>
                  <w:tcW w:w="6013" w:type="dxa"/>
                  <w:noWrap/>
                  <w:vAlign w:val="center"/>
                </w:tcPr>
                <w:p w14:paraId="5E92070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可燃</w:t>
                  </w:r>
                </w:p>
              </w:tc>
            </w:tr>
            <w:tr w14:paraId="6142F1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5867C63E">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11ABDC8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禁忌物</w:t>
                  </w:r>
                </w:p>
              </w:tc>
              <w:tc>
                <w:tcPr>
                  <w:tcW w:w="6013" w:type="dxa"/>
                  <w:noWrap/>
                  <w:vAlign w:val="center"/>
                </w:tcPr>
                <w:p w14:paraId="411B911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硝酸、高锰酸钾等强氧化物</w:t>
                  </w:r>
                </w:p>
              </w:tc>
            </w:tr>
            <w:tr w14:paraId="7B089A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379" w:hRule="atLeast"/>
                <w:jc w:val="center"/>
              </w:trPr>
              <w:tc>
                <w:tcPr>
                  <w:tcW w:w="659" w:type="dxa"/>
                  <w:vMerge w:val="continue"/>
                  <w:noWrap/>
                  <w:vAlign w:val="center"/>
                </w:tcPr>
                <w:p w14:paraId="1D6A8A8E">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F053AA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燃爆危险</w:t>
                  </w:r>
                </w:p>
              </w:tc>
              <w:tc>
                <w:tcPr>
                  <w:tcW w:w="6013" w:type="dxa"/>
                  <w:noWrap/>
                  <w:vAlign w:val="center"/>
                </w:tcPr>
                <w:p w14:paraId="436197A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可燃液体，火灾危险性为丙类；遇明火、高热可燃。</w:t>
                  </w:r>
                </w:p>
              </w:tc>
            </w:tr>
            <w:tr w14:paraId="368CEE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841" w:hRule="atLeast"/>
                <w:jc w:val="center"/>
              </w:trPr>
              <w:tc>
                <w:tcPr>
                  <w:tcW w:w="659" w:type="dxa"/>
                  <w:vMerge w:val="continue"/>
                  <w:noWrap/>
                  <w:vAlign w:val="center"/>
                </w:tcPr>
                <w:p w14:paraId="6C064924">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72AD89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灭火方法</w:t>
                  </w:r>
                </w:p>
              </w:tc>
              <w:tc>
                <w:tcPr>
                  <w:tcW w:w="6013" w:type="dxa"/>
                  <w:noWrap/>
                  <w:vAlign w:val="center"/>
                </w:tcPr>
                <w:p w14:paraId="293318C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消防人员须佩戴防毒面具、穿全身</w:t>
                  </w:r>
                  <w:r>
                    <w:rPr>
                      <w:rFonts w:hint="default" w:ascii="Times New Roman" w:hAnsi="Times New Roman" w:cs="Times New Roman"/>
                      <w:b w:val="0"/>
                      <w:bCs w:val="0"/>
                      <w:color w:val="auto"/>
                      <w:sz w:val="21"/>
                      <w:szCs w:val="21"/>
                      <w:highlight w:val="none"/>
                      <w:lang w:val="en-US" w:eastAsia="zh-CN"/>
                    </w:rPr>
                    <w:t>消防服</w:t>
                  </w:r>
                  <w:r>
                    <w:rPr>
                      <w:rFonts w:hint="default" w:ascii="Times New Roman" w:hAnsi="Times New Roman" w:cs="Times New Roman"/>
                      <w:b w:val="0"/>
                      <w:bCs w:val="0"/>
                      <w:color w:val="auto"/>
                      <w:sz w:val="21"/>
                      <w:szCs w:val="21"/>
                      <w:highlight w:val="none"/>
                    </w:rPr>
                    <w:t>，在上风向灭火。尽可能将容器从火场移至空旷处。喷水保持火场容器冷却，直至灭火结束。处在火场中的容器若已变色或从安全泄压装置中产生声音，必须马上撤离。</w:t>
                  </w:r>
                </w:p>
              </w:tc>
            </w:tr>
            <w:tr w14:paraId="6766AC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5D258B4F">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7266437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灭火剂</w:t>
                  </w:r>
                </w:p>
              </w:tc>
              <w:tc>
                <w:tcPr>
                  <w:tcW w:w="6013" w:type="dxa"/>
                  <w:noWrap/>
                  <w:vAlign w:val="center"/>
                </w:tcPr>
                <w:p w14:paraId="3B0EF45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雾状水、泡沫、干粉、二氧化碳、砂土</w:t>
                  </w:r>
                </w:p>
              </w:tc>
            </w:tr>
            <w:tr w14:paraId="2684FE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665" w:hRule="atLeast"/>
                <w:jc w:val="center"/>
              </w:trPr>
              <w:tc>
                <w:tcPr>
                  <w:tcW w:w="659" w:type="dxa"/>
                  <w:noWrap/>
                  <w:vAlign w:val="center"/>
                </w:tcPr>
                <w:p w14:paraId="0C5BCA3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健康危害</w:t>
                  </w:r>
                </w:p>
              </w:tc>
              <w:tc>
                <w:tcPr>
                  <w:tcW w:w="7696" w:type="dxa"/>
                  <w:gridSpan w:val="2"/>
                  <w:noWrap/>
                  <w:vAlign w:val="center"/>
                </w:tcPr>
                <w:p w14:paraId="2A327A5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急性吸入，可出现乏力、头晕、头痛、恶心、严重者可引起油脂性肺炎。慢性接触着，暴露部位可发生油性痤疮和接触性皮炎。可引起神经衰弱</w:t>
                  </w:r>
                  <w:bookmarkStart w:id="100" w:name="hmcheck_6a2718e859314bd984d1f25d69f02a2e"/>
                  <w:r>
                    <w:rPr>
                      <w:rFonts w:hint="default" w:ascii="Times New Roman" w:hAnsi="Times New Roman" w:cs="Times New Roman"/>
                      <w:b w:val="0"/>
                      <w:bCs w:val="0"/>
                      <w:color w:val="auto"/>
                      <w:sz w:val="21"/>
                      <w:szCs w:val="21"/>
                      <w:highlight w:val="none"/>
                    </w:rPr>
                    <w:t>综合症</w:t>
                  </w:r>
                  <w:bookmarkEnd w:id="100"/>
                  <w:r>
                    <w:rPr>
                      <w:rFonts w:hint="default" w:ascii="Times New Roman" w:hAnsi="Times New Roman" w:cs="Times New Roman"/>
                      <w:b w:val="0"/>
                      <w:bCs w:val="0"/>
                      <w:color w:val="auto"/>
                      <w:sz w:val="21"/>
                      <w:szCs w:val="21"/>
                      <w:highlight w:val="none"/>
                    </w:rPr>
                    <w:t>，呼吸道和刺激症状及慢性油脂性肺炎。</w:t>
                  </w:r>
                </w:p>
              </w:tc>
            </w:tr>
            <w:tr w14:paraId="6BDEA1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restart"/>
                  <w:noWrap/>
                  <w:vAlign w:val="center"/>
                </w:tcPr>
                <w:p w14:paraId="49D7266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个体防护</w:t>
                  </w:r>
                </w:p>
              </w:tc>
              <w:tc>
                <w:tcPr>
                  <w:tcW w:w="1683" w:type="dxa"/>
                  <w:noWrap/>
                  <w:vAlign w:val="center"/>
                </w:tcPr>
                <w:p w14:paraId="4410FBE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工程控制</w:t>
                  </w:r>
                </w:p>
              </w:tc>
              <w:tc>
                <w:tcPr>
                  <w:tcW w:w="6013" w:type="dxa"/>
                  <w:noWrap/>
                  <w:vAlign w:val="center"/>
                </w:tcPr>
                <w:p w14:paraId="4C08565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密闭操作，注意通风</w:t>
                  </w:r>
                </w:p>
              </w:tc>
            </w:tr>
            <w:tr w14:paraId="3B6268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446" w:hRule="atLeast"/>
                <w:jc w:val="center"/>
              </w:trPr>
              <w:tc>
                <w:tcPr>
                  <w:tcW w:w="659" w:type="dxa"/>
                  <w:vMerge w:val="continue"/>
                  <w:noWrap/>
                  <w:vAlign w:val="center"/>
                </w:tcPr>
                <w:p w14:paraId="7837FE4A">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4D26066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呼吸系统防护</w:t>
                  </w:r>
                </w:p>
              </w:tc>
              <w:tc>
                <w:tcPr>
                  <w:tcW w:w="6013" w:type="dxa"/>
                  <w:noWrap/>
                  <w:vAlign w:val="center"/>
                </w:tcPr>
                <w:p w14:paraId="16DE933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空气中浓度超标时，必须佩戴自吸过滤式防毒面具（半面罩）。紧急事态抢救或撤离时应佩戴空气呼吸器</w:t>
                  </w:r>
                </w:p>
              </w:tc>
            </w:tr>
            <w:tr w14:paraId="23C685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0130F317">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5067553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眼睛防护</w:t>
                  </w:r>
                </w:p>
              </w:tc>
              <w:tc>
                <w:tcPr>
                  <w:tcW w:w="6013" w:type="dxa"/>
                  <w:noWrap/>
                  <w:vAlign w:val="center"/>
                </w:tcPr>
                <w:p w14:paraId="1CD41C8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戴化学安全防护眼镜</w:t>
                  </w:r>
                </w:p>
              </w:tc>
            </w:tr>
            <w:tr w14:paraId="475E3F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779DB258">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6C79A8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身体防护</w:t>
                  </w:r>
                </w:p>
              </w:tc>
              <w:tc>
                <w:tcPr>
                  <w:tcW w:w="6013" w:type="dxa"/>
                  <w:noWrap/>
                  <w:vAlign w:val="center"/>
                </w:tcPr>
                <w:p w14:paraId="0ABECE40">
                  <w:pPr>
                    <w:pStyle w:val="35"/>
                    <w:bidi w:val="0"/>
                    <w:rPr>
                      <w:rFonts w:hint="default" w:ascii="Times New Roman" w:hAnsi="Times New Roman" w:cs="Times New Roman"/>
                      <w:b w:val="0"/>
                      <w:bCs w:val="0"/>
                      <w:color w:val="auto"/>
                      <w:sz w:val="21"/>
                      <w:szCs w:val="21"/>
                      <w:highlight w:val="none"/>
                    </w:rPr>
                  </w:pPr>
                  <w:bookmarkStart w:id="101" w:name="hmcheck_1d788813355e4979a0a917b4854f608d"/>
                  <w:r>
                    <w:rPr>
                      <w:rFonts w:hint="default" w:ascii="Times New Roman" w:hAnsi="Times New Roman" w:cs="Times New Roman"/>
                      <w:b w:val="0"/>
                      <w:bCs w:val="0"/>
                      <w:color w:val="auto"/>
                      <w:sz w:val="21"/>
                      <w:szCs w:val="21"/>
                      <w:highlight w:val="none"/>
                    </w:rPr>
                    <w:t>穿</w:t>
                  </w:r>
                  <w:bookmarkEnd w:id="101"/>
                  <w:r>
                    <w:rPr>
                      <w:rFonts w:hint="default" w:ascii="Times New Roman" w:hAnsi="Times New Roman" w:cs="Times New Roman"/>
                      <w:b w:val="0"/>
                      <w:bCs w:val="0"/>
                      <w:color w:val="auto"/>
                      <w:sz w:val="21"/>
                      <w:szCs w:val="21"/>
                      <w:highlight w:val="none"/>
                    </w:rPr>
                    <w:t>防毒物渗透工作服</w:t>
                  </w:r>
                </w:p>
              </w:tc>
            </w:tr>
            <w:tr w14:paraId="0DD5C2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88" w:hRule="atLeast"/>
                <w:jc w:val="center"/>
              </w:trPr>
              <w:tc>
                <w:tcPr>
                  <w:tcW w:w="659" w:type="dxa"/>
                  <w:vMerge w:val="continue"/>
                  <w:noWrap/>
                  <w:vAlign w:val="center"/>
                </w:tcPr>
                <w:p w14:paraId="10555E8B">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16D1F0E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手防护</w:t>
                  </w:r>
                </w:p>
              </w:tc>
              <w:tc>
                <w:tcPr>
                  <w:tcW w:w="6013" w:type="dxa"/>
                  <w:noWrap/>
                  <w:vAlign w:val="center"/>
                </w:tcPr>
                <w:p w14:paraId="7127BC5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戴橡胶耐油手套</w:t>
                  </w:r>
                </w:p>
              </w:tc>
            </w:tr>
            <w:tr w14:paraId="400078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6" w:type="dxa"/>
                  <w:bottom w:w="0" w:type="dxa"/>
                  <w:right w:w="0" w:type="dxa"/>
                </w:tblCellMar>
              </w:tblPrEx>
              <w:trPr>
                <w:trHeight w:val="292" w:hRule="atLeast"/>
                <w:jc w:val="center"/>
              </w:trPr>
              <w:tc>
                <w:tcPr>
                  <w:tcW w:w="659" w:type="dxa"/>
                  <w:vMerge w:val="continue"/>
                  <w:noWrap/>
                  <w:vAlign w:val="center"/>
                </w:tcPr>
                <w:p w14:paraId="645BC681">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7B09576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其他防护</w:t>
                  </w:r>
                </w:p>
              </w:tc>
              <w:tc>
                <w:tcPr>
                  <w:tcW w:w="6013" w:type="dxa"/>
                  <w:noWrap/>
                  <w:vAlign w:val="center"/>
                </w:tcPr>
                <w:p w14:paraId="1E5B45D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工作现场严禁吸烟，避免长期反复接触</w:t>
                  </w:r>
                </w:p>
              </w:tc>
            </w:tr>
            <w:tr w14:paraId="4A9F86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659" w:type="dxa"/>
                  <w:vMerge w:val="restart"/>
                  <w:noWrap/>
                  <w:vAlign w:val="center"/>
                </w:tcPr>
                <w:p w14:paraId="386F269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急救措施</w:t>
                  </w:r>
                </w:p>
              </w:tc>
              <w:tc>
                <w:tcPr>
                  <w:tcW w:w="1683" w:type="dxa"/>
                  <w:noWrap/>
                  <w:vAlign w:val="center"/>
                </w:tcPr>
                <w:p w14:paraId="3950156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皮肤接触</w:t>
                  </w:r>
                </w:p>
              </w:tc>
              <w:tc>
                <w:tcPr>
                  <w:tcW w:w="6013" w:type="dxa"/>
                  <w:noWrap/>
                  <w:vAlign w:val="center"/>
                </w:tcPr>
                <w:p w14:paraId="758ED89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脱去污染的衣着、用大量流动清水冲洗。就医</w:t>
                  </w:r>
                </w:p>
              </w:tc>
            </w:tr>
            <w:tr w14:paraId="2F1333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659" w:type="dxa"/>
                  <w:vMerge w:val="continue"/>
                  <w:noWrap/>
                  <w:vAlign w:val="center"/>
                </w:tcPr>
                <w:p w14:paraId="0361D023">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36A3142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眼睛接触</w:t>
                  </w:r>
                </w:p>
              </w:tc>
              <w:tc>
                <w:tcPr>
                  <w:tcW w:w="6013" w:type="dxa"/>
                  <w:noWrap/>
                  <w:vAlign w:val="center"/>
                </w:tcPr>
                <w:p w14:paraId="14CA619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提起眼睑，用流动清水或生理盐水冲洗。就医</w:t>
                  </w:r>
                </w:p>
              </w:tc>
            </w:tr>
            <w:tr w14:paraId="11E554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59" w:type="dxa"/>
                  <w:vMerge w:val="continue"/>
                  <w:noWrap/>
                  <w:vAlign w:val="center"/>
                </w:tcPr>
                <w:p w14:paraId="46EB83B1">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0C8D93A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吸入</w:t>
                  </w:r>
                </w:p>
              </w:tc>
              <w:tc>
                <w:tcPr>
                  <w:tcW w:w="6013" w:type="dxa"/>
                  <w:noWrap/>
                  <w:vAlign w:val="center"/>
                </w:tcPr>
                <w:p w14:paraId="4B32690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迅速脱离现场至空气新鲜处。保持呼吸道通畅。如呼吸困难，给输氧。如呼吸停止，立即进行人工呼吸。就医</w:t>
                  </w:r>
                </w:p>
              </w:tc>
            </w:tr>
            <w:tr w14:paraId="0EFE5E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659" w:type="dxa"/>
                  <w:vMerge w:val="continue"/>
                  <w:noWrap/>
                  <w:vAlign w:val="center"/>
                </w:tcPr>
                <w:p w14:paraId="0339FA42">
                  <w:pPr>
                    <w:pStyle w:val="35"/>
                    <w:bidi w:val="0"/>
                    <w:rPr>
                      <w:rFonts w:hint="default" w:ascii="Times New Roman" w:hAnsi="Times New Roman" w:cs="Times New Roman"/>
                      <w:b w:val="0"/>
                      <w:bCs w:val="0"/>
                      <w:color w:val="auto"/>
                      <w:sz w:val="21"/>
                      <w:szCs w:val="21"/>
                      <w:highlight w:val="none"/>
                    </w:rPr>
                  </w:pPr>
                </w:p>
              </w:tc>
              <w:tc>
                <w:tcPr>
                  <w:tcW w:w="1683" w:type="dxa"/>
                  <w:noWrap/>
                  <w:vAlign w:val="center"/>
                </w:tcPr>
                <w:p w14:paraId="273BE5D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食入</w:t>
                  </w:r>
                </w:p>
              </w:tc>
              <w:tc>
                <w:tcPr>
                  <w:tcW w:w="6013" w:type="dxa"/>
                  <w:noWrap/>
                  <w:vAlign w:val="center"/>
                </w:tcPr>
                <w:p w14:paraId="477932E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饮足量温水，催吐。就医</w:t>
                  </w:r>
                </w:p>
              </w:tc>
            </w:tr>
            <w:tr w14:paraId="49E157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659" w:type="dxa"/>
                  <w:noWrap/>
                  <w:vAlign w:val="center"/>
                </w:tcPr>
                <w:p w14:paraId="7F47F6D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应急处理</w:t>
                  </w:r>
                </w:p>
              </w:tc>
              <w:tc>
                <w:tcPr>
                  <w:tcW w:w="7696" w:type="dxa"/>
                  <w:gridSpan w:val="2"/>
                  <w:noWrap/>
                  <w:vAlign w:val="center"/>
                </w:tcPr>
                <w:p w14:paraId="668D887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迅速撤离</w:t>
                  </w: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污染区人员至安全区，并进行隔离，严格限制出入。切断火源。建议应急处理人员</w:t>
                  </w:r>
                  <w:bookmarkStart w:id="102" w:name="hmcheck_96b42135df6e44539672cbc4f5f5ff65"/>
                  <w:r>
                    <w:rPr>
                      <w:rFonts w:hint="default" w:ascii="Times New Roman" w:hAnsi="Times New Roman" w:cs="Times New Roman"/>
                      <w:b w:val="0"/>
                      <w:bCs w:val="0"/>
                      <w:color w:val="auto"/>
                      <w:sz w:val="21"/>
                      <w:szCs w:val="21"/>
                      <w:highlight w:val="none"/>
                    </w:rPr>
                    <w:t>戴</w:t>
                  </w:r>
                  <w:bookmarkEnd w:id="102"/>
                  <w:r>
                    <w:rPr>
                      <w:rFonts w:hint="default" w:ascii="Times New Roman" w:hAnsi="Times New Roman" w:cs="Times New Roman"/>
                      <w:b w:val="0"/>
                      <w:bCs w:val="0"/>
                      <w:color w:val="auto"/>
                      <w:sz w:val="21"/>
                      <w:szCs w:val="21"/>
                      <w:highlight w:val="none"/>
                    </w:rPr>
                    <w:t>自给正压式呼吸器，穿防毒服，尽可能切断泄漏源。防止流入下水道、排洪沟等限制性空间。小量</w:t>
                  </w: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：用砂土或其他不燃材料吸附或吸收。大量泄漏：构筑围堤或挖坑收容。用泵转移至槽车或专用收集器内，回收或运至废物处理场所处置。</w:t>
                  </w:r>
                </w:p>
              </w:tc>
            </w:tr>
            <w:tr w14:paraId="46316C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659" w:type="dxa"/>
                  <w:noWrap/>
                  <w:vAlign w:val="center"/>
                </w:tcPr>
                <w:p w14:paraId="7F9E238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操作注意事项</w:t>
                  </w:r>
                </w:p>
              </w:tc>
              <w:tc>
                <w:tcPr>
                  <w:tcW w:w="7696" w:type="dxa"/>
                  <w:gridSpan w:val="2"/>
                  <w:noWrap/>
                  <w:vAlign w:val="center"/>
                </w:tcPr>
                <w:p w14:paraId="3112AF6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密闭操作，注意通风。操作人员必须经过专门培训，严格遵守操作规程。建议操作人员佩戴自吸过滤式防毒面具（半面罩），</w:t>
                  </w:r>
                  <w:bookmarkStart w:id="103" w:name="hmcheck_f911c4c97c864bd7a0485981bc1cb13b"/>
                  <w:r>
                    <w:rPr>
                      <w:rFonts w:hint="default" w:ascii="Times New Roman" w:hAnsi="Times New Roman" w:cs="Times New Roman"/>
                      <w:b w:val="0"/>
                      <w:bCs w:val="0"/>
                      <w:color w:val="auto"/>
                      <w:sz w:val="21"/>
                      <w:szCs w:val="21"/>
                      <w:highlight w:val="none"/>
                    </w:rPr>
                    <w:t>带</w:t>
                  </w:r>
                  <w:bookmarkEnd w:id="103"/>
                  <w:r>
                    <w:rPr>
                      <w:rFonts w:hint="default" w:ascii="Times New Roman" w:hAnsi="Times New Roman" w:cs="Times New Roman"/>
                      <w:b w:val="0"/>
                      <w:bCs w:val="0"/>
                      <w:color w:val="auto"/>
                      <w:sz w:val="21"/>
                      <w:szCs w:val="21"/>
                      <w:highlight w:val="none"/>
                    </w:rPr>
                    <w:t>化学安全防护眼镜，</w:t>
                  </w:r>
                  <w:bookmarkStart w:id="104" w:name="hmcheck_90b926c22abf48baaa1e39cf8bd223bc"/>
                  <w:r>
                    <w:rPr>
                      <w:rFonts w:hint="default" w:ascii="Times New Roman" w:hAnsi="Times New Roman" w:cs="Times New Roman"/>
                      <w:b w:val="0"/>
                      <w:bCs w:val="0"/>
                      <w:color w:val="auto"/>
                      <w:sz w:val="21"/>
                      <w:szCs w:val="21"/>
                      <w:highlight w:val="none"/>
                    </w:rPr>
                    <w:t>穿</w:t>
                  </w:r>
                  <w:bookmarkEnd w:id="104"/>
                  <w:r>
                    <w:rPr>
                      <w:rFonts w:hint="default" w:ascii="Times New Roman" w:hAnsi="Times New Roman" w:cs="Times New Roman"/>
                      <w:b w:val="0"/>
                      <w:bCs w:val="0"/>
                      <w:color w:val="auto"/>
                      <w:sz w:val="21"/>
                      <w:szCs w:val="21"/>
                      <w:highlight w:val="none"/>
                    </w:rPr>
                    <w:t>防毒无渗透工作服，戴橡胶耐油手套。远离火种、热源，工作场所严禁吸烟。使用防爆型的通风系统和设备，防止蒸汽</w:t>
                  </w: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到工作场所空气中，避免与氧化剂接触，搬运时要轻装轻卸，防止包装及容器损坏。配备相应品种和数量的消防器材及</w:t>
                  </w: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应急处理设备。</w:t>
                  </w:r>
                </w:p>
              </w:tc>
            </w:tr>
            <w:tr w14:paraId="0C9174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659" w:type="dxa"/>
                  <w:noWrap/>
                  <w:vAlign w:val="center"/>
                </w:tcPr>
                <w:p w14:paraId="247BBDC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储存注意事项</w:t>
                  </w:r>
                </w:p>
              </w:tc>
              <w:tc>
                <w:tcPr>
                  <w:tcW w:w="7696" w:type="dxa"/>
                  <w:gridSpan w:val="2"/>
                  <w:noWrap/>
                  <w:vAlign w:val="center"/>
                </w:tcPr>
                <w:p w14:paraId="52D41A9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储存于阴凉、通风的库房，远离火种、热源。应与氧化剂分开存放，切忌混储，配备相应品种和数量的消防器材，</w:t>
                  </w:r>
                  <w:bookmarkStart w:id="105" w:name="hmcheck_02765d590cd844f1903ca7adfe677920"/>
                  <w:r>
                    <w:rPr>
                      <w:rFonts w:hint="default" w:ascii="Times New Roman" w:hAnsi="Times New Roman" w:cs="Times New Roman"/>
                      <w:b w:val="0"/>
                      <w:bCs w:val="0"/>
                      <w:color w:val="auto"/>
                      <w:sz w:val="21"/>
                      <w:szCs w:val="21"/>
                      <w:highlight w:val="none"/>
                    </w:rPr>
                    <w:t>储</w:t>
                  </w:r>
                  <w:bookmarkEnd w:id="105"/>
                  <w:r>
                    <w:rPr>
                      <w:rFonts w:hint="default" w:ascii="Times New Roman" w:hAnsi="Times New Roman" w:cs="Times New Roman"/>
                      <w:b w:val="0"/>
                      <w:bCs w:val="0"/>
                      <w:color w:val="auto"/>
                      <w:sz w:val="21"/>
                      <w:szCs w:val="21"/>
                      <w:highlight w:val="none"/>
                    </w:rPr>
                    <w:t>区应备有</w:t>
                  </w:r>
                  <w:r>
                    <w:rPr>
                      <w:rFonts w:hint="default" w:ascii="Times New Roman" w:hAnsi="Times New Roman" w:cs="Times New Roman"/>
                      <w:b w:val="0"/>
                      <w:bCs w:val="0"/>
                      <w:color w:val="auto"/>
                      <w:sz w:val="21"/>
                      <w:szCs w:val="21"/>
                      <w:highlight w:val="none"/>
                      <w:lang w:eastAsia="zh-CN"/>
                    </w:rPr>
                    <w:t>泄漏</w:t>
                  </w:r>
                  <w:r>
                    <w:rPr>
                      <w:rFonts w:hint="default" w:ascii="Times New Roman" w:hAnsi="Times New Roman" w:cs="Times New Roman"/>
                      <w:b w:val="0"/>
                      <w:bCs w:val="0"/>
                      <w:color w:val="auto"/>
                      <w:sz w:val="21"/>
                      <w:szCs w:val="21"/>
                      <w:highlight w:val="none"/>
                    </w:rPr>
                    <w:t>应急处理设备和的收容材料。</w:t>
                  </w:r>
                </w:p>
              </w:tc>
            </w:tr>
          </w:tbl>
          <w:p w14:paraId="0D88E6BF">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6.1</w:t>
            </w:r>
            <w:r>
              <w:rPr>
                <w:rFonts w:hint="default" w:ascii="Times New Roman" w:hAnsi="Times New Roman" w:eastAsia="宋体" w:cs="Times New Roman"/>
                <w:b/>
                <w:bCs/>
                <w:color w:val="auto"/>
                <w:sz w:val="24"/>
                <w:szCs w:val="24"/>
                <w:highlight w:val="none"/>
              </w:rPr>
              <w:t>.2</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生产设施和风险类型风险识别</w:t>
            </w:r>
          </w:p>
          <w:p w14:paraId="5C7927D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cs="Times New Roman"/>
                <w:color w:val="auto"/>
                <w:sz w:val="24"/>
                <w:szCs w:val="24"/>
                <w:highlight w:val="none"/>
              </w:rPr>
              <w:t>本项目产生的环境风险主要是烟气超标排放和火灾引发的次生污染和危害</w:t>
            </w:r>
            <w:r>
              <w:rPr>
                <w:rFonts w:hint="default" w:ascii="Times New Roman" w:hAnsi="Times New Roman" w:cs="Times New Roman"/>
                <w:color w:val="auto"/>
                <w:sz w:val="24"/>
                <w:szCs w:val="24"/>
                <w:highlight w:val="none"/>
                <w:lang w:eastAsia="zh-CN"/>
              </w:rPr>
              <w:t>。</w:t>
            </w:r>
          </w:p>
          <w:p w14:paraId="39267F3D">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项目区发生火灾引发的次生环境污染和消防废水环境污染</w:t>
            </w:r>
            <w:r>
              <w:rPr>
                <w:rFonts w:hint="default" w:ascii="Times New Roman" w:hAnsi="Times New Roman" w:eastAsia="宋体" w:cs="Times New Roman"/>
                <w:color w:val="auto"/>
                <w:sz w:val="24"/>
                <w:szCs w:val="24"/>
                <w:highlight w:val="none"/>
              </w:rPr>
              <w:t>。</w:t>
            </w:r>
          </w:p>
          <w:p w14:paraId="0BE58B5B">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 xml:space="preserve">6.1.3 </w:t>
            </w:r>
            <w:r>
              <w:rPr>
                <w:rFonts w:hint="default" w:ascii="Times New Roman" w:hAnsi="Times New Roman" w:eastAsia="宋体" w:cs="Times New Roman"/>
                <w:b/>
                <w:bCs/>
                <w:color w:val="auto"/>
                <w:sz w:val="24"/>
                <w:szCs w:val="24"/>
                <w:highlight w:val="none"/>
              </w:rPr>
              <w:t>环境风险评价的等级</w:t>
            </w:r>
          </w:p>
          <w:p w14:paraId="0D2F978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14:paraId="07AC7796">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16</w:t>
            </w:r>
            <w:r>
              <w:rPr>
                <w:rFonts w:hint="default" w:ascii="Times New Roman" w:hAnsi="Times New Roman" w:cs="Times New Roman"/>
                <w:b/>
                <w:bCs/>
                <w:color w:val="auto"/>
                <w:highlight w:val="none"/>
                <w:lang w:val="en-US" w:eastAsia="zh-CN"/>
              </w:rPr>
              <w:t xml:space="preserve">   建设项目环境风险潜势划分</w:t>
            </w:r>
          </w:p>
          <w:tbl>
            <w:tblPr>
              <w:tblStyle w:val="19"/>
              <w:tblW w:w="822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34" w:type="dxa"/>
                <w:left w:w="108" w:type="dxa"/>
                <w:bottom w:w="0" w:type="dxa"/>
                <w:right w:w="2" w:type="dxa"/>
              </w:tblCellMar>
            </w:tblPr>
            <w:tblGrid>
              <w:gridCol w:w="2050"/>
              <w:gridCol w:w="1629"/>
              <w:gridCol w:w="1629"/>
              <w:gridCol w:w="1494"/>
              <w:gridCol w:w="1418"/>
            </w:tblGrid>
            <w:tr w14:paraId="56CE14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3" w:hRule="atLeast"/>
                <w:jc w:val="center"/>
              </w:trPr>
              <w:tc>
                <w:tcPr>
                  <w:tcW w:w="2050" w:type="dxa"/>
                  <w:vMerge w:val="restart"/>
                  <w:noWrap w:val="0"/>
                  <w:vAlign w:val="center"/>
                </w:tcPr>
                <w:p w14:paraId="48077FB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环境敏感程度（E）</w:t>
                  </w:r>
                </w:p>
              </w:tc>
              <w:tc>
                <w:tcPr>
                  <w:tcW w:w="6170" w:type="dxa"/>
                  <w:gridSpan w:val="4"/>
                  <w:noWrap w:val="0"/>
                  <w:vAlign w:val="top"/>
                </w:tcPr>
                <w:p w14:paraId="31939EE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危险物质及工艺系统危险性（P）</w:t>
                  </w:r>
                </w:p>
              </w:tc>
            </w:tr>
            <w:tr w14:paraId="0AC424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2" w:hRule="atLeast"/>
                <w:jc w:val="center"/>
              </w:trPr>
              <w:tc>
                <w:tcPr>
                  <w:tcW w:w="2050" w:type="dxa"/>
                  <w:vMerge w:val="continue"/>
                  <w:tcBorders>
                    <w:bottom w:val="single" w:color="000000" w:sz="12" w:space="0"/>
                  </w:tcBorders>
                  <w:noWrap w:val="0"/>
                  <w:vAlign w:val="center"/>
                </w:tcPr>
                <w:p w14:paraId="41E97BA1">
                  <w:pPr>
                    <w:pStyle w:val="35"/>
                    <w:bidi w:val="0"/>
                    <w:rPr>
                      <w:rFonts w:hint="default" w:ascii="Times New Roman" w:hAnsi="Times New Roman" w:cs="Times New Roman"/>
                      <w:b w:val="0"/>
                      <w:bCs w:val="0"/>
                      <w:color w:val="auto"/>
                      <w:sz w:val="21"/>
                      <w:szCs w:val="21"/>
                      <w:highlight w:val="none"/>
                    </w:rPr>
                  </w:pPr>
                </w:p>
              </w:tc>
              <w:tc>
                <w:tcPr>
                  <w:tcW w:w="1629" w:type="dxa"/>
                  <w:tcBorders>
                    <w:bottom w:val="single" w:color="000000" w:sz="12" w:space="0"/>
                  </w:tcBorders>
                  <w:noWrap w:val="0"/>
                  <w:vAlign w:val="top"/>
                </w:tcPr>
                <w:p w14:paraId="12DC607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极高危害（P1）</w:t>
                  </w:r>
                </w:p>
              </w:tc>
              <w:tc>
                <w:tcPr>
                  <w:tcW w:w="1629" w:type="dxa"/>
                  <w:tcBorders>
                    <w:bottom w:val="single" w:color="000000" w:sz="12" w:space="0"/>
                  </w:tcBorders>
                  <w:noWrap w:val="0"/>
                  <w:vAlign w:val="top"/>
                </w:tcPr>
                <w:p w14:paraId="4E9B263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高度危害（P2）</w:t>
                  </w:r>
                </w:p>
              </w:tc>
              <w:tc>
                <w:tcPr>
                  <w:tcW w:w="1494" w:type="dxa"/>
                  <w:tcBorders>
                    <w:bottom w:val="single" w:color="000000" w:sz="12" w:space="0"/>
                  </w:tcBorders>
                  <w:noWrap w:val="0"/>
                  <w:vAlign w:val="top"/>
                </w:tcPr>
                <w:p w14:paraId="5311B7E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中度危害（P3）</w:t>
                  </w:r>
                </w:p>
              </w:tc>
              <w:tc>
                <w:tcPr>
                  <w:tcW w:w="1418" w:type="dxa"/>
                  <w:tcBorders>
                    <w:bottom w:val="single" w:color="000000" w:sz="12" w:space="0"/>
                  </w:tcBorders>
                  <w:noWrap w:val="0"/>
                  <w:vAlign w:val="top"/>
                </w:tcPr>
                <w:p w14:paraId="4C86395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轻度危害（P4）</w:t>
                  </w:r>
                </w:p>
              </w:tc>
            </w:tr>
            <w:tr w14:paraId="688BE5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2" w:hRule="atLeast"/>
                <w:jc w:val="center"/>
              </w:trPr>
              <w:tc>
                <w:tcPr>
                  <w:tcW w:w="2050" w:type="dxa"/>
                  <w:tcBorders>
                    <w:top w:val="single" w:color="000000" w:sz="12" w:space="0"/>
                  </w:tcBorders>
                  <w:noWrap w:val="0"/>
                  <w:vAlign w:val="top"/>
                </w:tcPr>
                <w:p w14:paraId="0680ED6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环境高度敏感区（E1）</w:t>
                  </w:r>
                </w:p>
              </w:tc>
              <w:tc>
                <w:tcPr>
                  <w:tcW w:w="1629" w:type="dxa"/>
                  <w:tcBorders>
                    <w:top w:val="single" w:color="000000" w:sz="12" w:space="0"/>
                  </w:tcBorders>
                  <w:noWrap w:val="0"/>
                  <w:vAlign w:val="top"/>
                </w:tcPr>
                <w:p w14:paraId="671AEF7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Ⅳ+</w:t>
                  </w:r>
                </w:p>
              </w:tc>
              <w:tc>
                <w:tcPr>
                  <w:tcW w:w="1629" w:type="dxa"/>
                  <w:tcBorders>
                    <w:top w:val="single" w:color="000000" w:sz="12" w:space="0"/>
                  </w:tcBorders>
                  <w:noWrap w:val="0"/>
                  <w:vAlign w:val="top"/>
                </w:tcPr>
                <w:p w14:paraId="4C349C6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Ⅳ</w:t>
                  </w:r>
                </w:p>
              </w:tc>
              <w:tc>
                <w:tcPr>
                  <w:tcW w:w="1494" w:type="dxa"/>
                  <w:tcBorders>
                    <w:top w:val="single" w:color="000000" w:sz="12" w:space="0"/>
                  </w:tcBorders>
                  <w:noWrap w:val="0"/>
                  <w:vAlign w:val="top"/>
                </w:tcPr>
                <w:p w14:paraId="626930F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418" w:type="dxa"/>
                  <w:tcBorders>
                    <w:top w:val="single" w:color="000000" w:sz="12" w:space="0"/>
                  </w:tcBorders>
                  <w:noWrap w:val="0"/>
                  <w:vAlign w:val="top"/>
                </w:tcPr>
                <w:p w14:paraId="5FB3D3FA">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r>
            <w:tr w14:paraId="3AAAFA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3" w:hRule="atLeast"/>
                <w:jc w:val="center"/>
              </w:trPr>
              <w:tc>
                <w:tcPr>
                  <w:tcW w:w="2050" w:type="dxa"/>
                  <w:noWrap w:val="0"/>
                  <w:vAlign w:val="top"/>
                </w:tcPr>
                <w:p w14:paraId="48D4151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环境中度敏感区</w:t>
                  </w:r>
                  <w:bookmarkStart w:id="106" w:name="hmcheck_542b875d4f3a4383b10c1c7675a62cf5"/>
                  <w:r>
                    <w:rPr>
                      <w:rFonts w:hint="default" w:ascii="Times New Roman" w:hAnsi="Times New Roman" w:cs="Times New Roman"/>
                      <w:b w:val="0"/>
                      <w:bCs w:val="0"/>
                      <w:color w:val="auto"/>
                      <w:sz w:val="21"/>
                      <w:szCs w:val="21"/>
                      <w:highlight w:val="none"/>
                    </w:rPr>
                    <w:t>（</w:t>
                  </w:r>
                  <w:bookmarkEnd w:id="106"/>
                  <w:r>
                    <w:rPr>
                      <w:rFonts w:hint="default" w:ascii="Times New Roman" w:hAnsi="Times New Roman" w:cs="Times New Roman"/>
                      <w:b w:val="0"/>
                      <w:bCs w:val="0"/>
                      <w:color w:val="auto"/>
                      <w:sz w:val="21"/>
                      <w:szCs w:val="21"/>
                      <w:highlight w:val="none"/>
                    </w:rPr>
                    <w:t>E2</w:t>
                  </w:r>
                </w:p>
              </w:tc>
              <w:tc>
                <w:tcPr>
                  <w:tcW w:w="1629" w:type="dxa"/>
                  <w:noWrap w:val="0"/>
                  <w:vAlign w:val="top"/>
                </w:tcPr>
                <w:p w14:paraId="628C2A5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Ⅳ</w:t>
                  </w:r>
                </w:p>
              </w:tc>
              <w:tc>
                <w:tcPr>
                  <w:tcW w:w="1629" w:type="dxa"/>
                  <w:noWrap w:val="0"/>
                  <w:vAlign w:val="top"/>
                </w:tcPr>
                <w:p w14:paraId="58D98DE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494" w:type="dxa"/>
                  <w:noWrap w:val="0"/>
                  <w:vAlign w:val="top"/>
                </w:tcPr>
                <w:p w14:paraId="3B5F2E9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418" w:type="dxa"/>
                  <w:noWrap w:val="0"/>
                  <w:vAlign w:val="top"/>
                </w:tcPr>
                <w:p w14:paraId="783F4A6F">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Ⅱ</w:t>
                  </w:r>
                </w:p>
              </w:tc>
            </w:tr>
            <w:tr w14:paraId="5B71AE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2" w:hRule="atLeast"/>
                <w:jc w:val="center"/>
              </w:trPr>
              <w:tc>
                <w:tcPr>
                  <w:tcW w:w="2050" w:type="dxa"/>
                  <w:noWrap w:val="0"/>
                  <w:vAlign w:val="top"/>
                </w:tcPr>
                <w:p w14:paraId="2CEC753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环境低度敏感区（E3）</w:t>
                  </w:r>
                </w:p>
              </w:tc>
              <w:tc>
                <w:tcPr>
                  <w:tcW w:w="1629" w:type="dxa"/>
                  <w:noWrap w:val="0"/>
                  <w:vAlign w:val="top"/>
                </w:tcPr>
                <w:p w14:paraId="6EB8985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629" w:type="dxa"/>
                  <w:noWrap w:val="0"/>
                  <w:vAlign w:val="top"/>
                </w:tcPr>
                <w:p w14:paraId="15D24EF2">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494" w:type="dxa"/>
                  <w:noWrap w:val="0"/>
                  <w:vAlign w:val="top"/>
                </w:tcPr>
                <w:p w14:paraId="5F661F1E">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Ⅱ</w:t>
                  </w:r>
                </w:p>
              </w:tc>
              <w:tc>
                <w:tcPr>
                  <w:tcW w:w="1418" w:type="dxa"/>
                  <w:noWrap w:val="0"/>
                  <w:vAlign w:val="top"/>
                </w:tcPr>
                <w:p w14:paraId="676ADDD3">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Ⅰ</w:t>
                  </w:r>
                </w:p>
              </w:tc>
            </w:tr>
            <w:tr w14:paraId="4BEDC4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282" w:hRule="atLeast"/>
                <w:jc w:val="center"/>
              </w:trPr>
              <w:tc>
                <w:tcPr>
                  <w:tcW w:w="8220" w:type="dxa"/>
                  <w:gridSpan w:val="5"/>
                  <w:noWrap w:val="0"/>
                  <w:vAlign w:val="top"/>
                </w:tcPr>
                <w:p w14:paraId="61EDC4D5">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注：Ⅳ+为极高环境风险</w:t>
                  </w:r>
                </w:p>
              </w:tc>
            </w:tr>
          </w:tbl>
          <w:p w14:paraId="6AAAA87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上表可知，风险潜势由危险物质及工艺系统危险性（P）与环境敏感程度（E）共同确定，而P的分级由风险物质数量与临界量的比值（Q）和所属行业及生产工艺特点（M）共同确定。风险物质数量与临界量比值（Q）为每种风险物质在厂界内的最大存在总量与其在《建设项目环境风险评价技术导则》（HJ169-2018）附录B中对应临界量的比值Q。</w:t>
            </w:r>
          </w:p>
          <w:p w14:paraId="7D7961F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当企业只涉及一种环境风险物质时，该物质的数量与其临界量比值，即为Q。</w:t>
            </w:r>
          </w:p>
          <w:p w14:paraId="3459A58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当企业存在多种风险物质时，则按照下式进行计算</w:t>
            </w:r>
          </w:p>
          <w:p w14:paraId="1EAF596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7" o:spt="75" type="#_x0000_t75" style="height:33pt;width:143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p>
          <w:p w14:paraId="49D606A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式中：q1、q2、q3、qn为每种风险物质的存在量，t；</w:t>
            </w:r>
          </w:p>
          <w:p w14:paraId="513C3BE7">
            <w:pPr>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Q1、Q2、Q3、Qn为每种风险物质的临界量，t；</w:t>
            </w:r>
          </w:p>
          <w:p w14:paraId="38D61118">
            <w:pPr>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当Q＜1时，该项目的环境风险潜势为I。</w:t>
            </w:r>
          </w:p>
          <w:p w14:paraId="168F7B5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本项目废机油最大储量0.05t，则本项目Q=0.05/2500=2×10</w:t>
            </w:r>
            <w:r>
              <w:rPr>
                <w:rFonts w:hint="default" w:ascii="Times New Roman" w:hAnsi="Times New Roman" w:eastAsia="宋体" w:cs="Times New Roman"/>
                <w:color w:val="auto"/>
                <w:sz w:val="24"/>
                <w:szCs w:val="24"/>
                <w:highlight w:val="none"/>
                <w:vertAlign w:val="superscript"/>
              </w:rPr>
              <w:t>-5</w:t>
            </w:r>
            <w:r>
              <w:rPr>
                <w:rFonts w:hint="default" w:ascii="Times New Roman" w:hAnsi="Times New Roman" w:eastAsia="宋体" w:cs="Times New Roman"/>
                <w:color w:val="auto"/>
                <w:sz w:val="24"/>
                <w:szCs w:val="24"/>
                <w:highlight w:val="none"/>
              </w:rPr>
              <w:t>＜1，故本项目风险潜势为I，按照下表确定评价等级。</w:t>
            </w:r>
          </w:p>
          <w:p w14:paraId="7F15D4FA">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p>
          <w:p w14:paraId="7B4AC1C9">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17</w:t>
            </w:r>
            <w:r>
              <w:rPr>
                <w:rFonts w:hint="default" w:ascii="Times New Roman" w:hAnsi="Times New Roman" w:cs="Times New Roman"/>
                <w:b/>
                <w:bCs/>
                <w:color w:val="auto"/>
                <w:highlight w:val="none"/>
                <w:lang w:val="en-US" w:eastAsia="zh-CN"/>
              </w:rPr>
              <w:t xml:space="preserve">   评价工作等级划分</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4"/>
              <w:gridCol w:w="1645"/>
              <w:gridCol w:w="1644"/>
              <w:gridCol w:w="1644"/>
            </w:tblGrid>
            <w:tr w14:paraId="447145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43" w:type="dxa"/>
                  <w:tcBorders>
                    <w:bottom w:val="single" w:color="auto" w:sz="12" w:space="0"/>
                  </w:tcBorders>
                  <w:noWrap w:val="0"/>
                  <w:vAlign w:val="center"/>
                </w:tcPr>
                <w:p w14:paraId="0ACEC52D">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环境风险潜势</w:t>
                  </w:r>
                </w:p>
              </w:tc>
              <w:tc>
                <w:tcPr>
                  <w:tcW w:w="1644" w:type="dxa"/>
                  <w:tcBorders>
                    <w:bottom w:val="single" w:color="auto" w:sz="12" w:space="0"/>
                  </w:tcBorders>
                  <w:noWrap w:val="0"/>
                  <w:vAlign w:val="center"/>
                </w:tcPr>
                <w:p w14:paraId="52772CC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Ⅳ、Ⅳ+</w:t>
                  </w:r>
                </w:p>
              </w:tc>
              <w:tc>
                <w:tcPr>
                  <w:tcW w:w="1645" w:type="dxa"/>
                  <w:tcBorders>
                    <w:bottom w:val="single" w:color="auto" w:sz="12" w:space="0"/>
                  </w:tcBorders>
                  <w:noWrap w:val="0"/>
                  <w:vAlign w:val="center"/>
                </w:tcPr>
                <w:p w14:paraId="2E90DCC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Ⅲ</w:t>
                  </w:r>
                </w:p>
              </w:tc>
              <w:tc>
                <w:tcPr>
                  <w:tcW w:w="1644" w:type="dxa"/>
                  <w:tcBorders>
                    <w:bottom w:val="single" w:color="auto" w:sz="12" w:space="0"/>
                  </w:tcBorders>
                  <w:noWrap w:val="0"/>
                  <w:vAlign w:val="center"/>
                </w:tcPr>
                <w:p w14:paraId="635F36BB">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Ⅱ</w:t>
                  </w:r>
                </w:p>
              </w:tc>
              <w:tc>
                <w:tcPr>
                  <w:tcW w:w="1644" w:type="dxa"/>
                  <w:tcBorders>
                    <w:bottom w:val="single" w:color="auto" w:sz="12" w:space="0"/>
                  </w:tcBorders>
                  <w:noWrap w:val="0"/>
                  <w:vAlign w:val="center"/>
                </w:tcPr>
                <w:p w14:paraId="62B89F6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Ⅰ</w:t>
                  </w:r>
                </w:p>
              </w:tc>
            </w:tr>
            <w:tr w14:paraId="34DFE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43" w:type="dxa"/>
                  <w:tcBorders>
                    <w:top w:val="single" w:color="auto" w:sz="12" w:space="0"/>
                  </w:tcBorders>
                  <w:noWrap w:val="0"/>
                  <w:vAlign w:val="center"/>
                </w:tcPr>
                <w:p w14:paraId="72CB57C1">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评价工作等级</w:t>
                  </w:r>
                </w:p>
              </w:tc>
              <w:tc>
                <w:tcPr>
                  <w:tcW w:w="1644" w:type="dxa"/>
                  <w:tcBorders>
                    <w:top w:val="single" w:color="auto" w:sz="12" w:space="0"/>
                  </w:tcBorders>
                  <w:noWrap w:val="0"/>
                  <w:vAlign w:val="center"/>
                </w:tcPr>
                <w:p w14:paraId="2C447FF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w:t>
                  </w:r>
                </w:p>
              </w:tc>
              <w:tc>
                <w:tcPr>
                  <w:tcW w:w="1645" w:type="dxa"/>
                  <w:tcBorders>
                    <w:top w:val="single" w:color="auto" w:sz="12" w:space="0"/>
                  </w:tcBorders>
                  <w:noWrap w:val="0"/>
                  <w:vAlign w:val="center"/>
                </w:tcPr>
                <w:p w14:paraId="448D0086">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二</w:t>
                  </w:r>
                </w:p>
              </w:tc>
              <w:tc>
                <w:tcPr>
                  <w:tcW w:w="1644" w:type="dxa"/>
                  <w:tcBorders>
                    <w:top w:val="single" w:color="auto" w:sz="12" w:space="0"/>
                  </w:tcBorders>
                  <w:noWrap w:val="0"/>
                  <w:vAlign w:val="center"/>
                </w:tcPr>
                <w:p w14:paraId="16D2620C">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三</w:t>
                  </w:r>
                </w:p>
              </w:tc>
              <w:tc>
                <w:tcPr>
                  <w:tcW w:w="1644" w:type="dxa"/>
                  <w:tcBorders>
                    <w:top w:val="single" w:color="auto" w:sz="12" w:space="0"/>
                  </w:tcBorders>
                  <w:noWrap w:val="0"/>
                  <w:vAlign w:val="center"/>
                </w:tcPr>
                <w:p w14:paraId="667EB717">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简单分析a</w:t>
                  </w:r>
                </w:p>
              </w:tc>
            </w:tr>
            <w:tr w14:paraId="076CB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0" w:type="dxa"/>
                  <w:gridSpan w:val="5"/>
                  <w:noWrap w:val="0"/>
                  <w:vAlign w:val="center"/>
                </w:tcPr>
                <w:p w14:paraId="22DB741B">
                  <w:pPr>
                    <w:pStyle w:val="35"/>
                    <w:bidi w:val="0"/>
                    <w:jc w:val="both"/>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a是相对详细评价工作内容而言，在描述危险物质、环境影响途径、环境危害后果、风险防范措施</w:t>
                  </w:r>
                  <w:r>
                    <w:rPr>
                      <w:rFonts w:hint="default" w:ascii="Times New Roman" w:hAnsi="Times New Roman" w:cs="Times New Roman"/>
                      <w:b w:val="0"/>
                      <w:bCs w:val="0"/>
                      <w:color w:val="auto"/>
                      <w:sz w:val="21"/>
                      <w:szCs w:val="21"/>
                      <w:highlight w:val="none"/>
                      <w:lang w:eastAsia="zh-CN"/>
                    </w:rPr>
                    <w:t>等方面</w:t>
                  </w:r>
                  <w:r>
                    <w:rPr>
                      <w:rFonts w:hint="default" w:ascii="Times New Roman" w:hAnsi="Times New Roman" w:cs="Times New Roman"/>
                      <w:b w:val="0"/>
                      <w:bCs w:val="0"/>
                      <w:color w:val="auto"/>
                      <w:sz w:val="21"/>
                      <w:szCs w:val="21"/>
                      <w:highlight w:val="none"/>
                    </w:rPr>
                    <w:t>给出定性的说明。</w:t>
                  </w:r>
                </w:p>
              </w:tc>
            </w:tr>
          </w:tbl>
          <w:p w14:paraId="0523C727">
            <w:pPr>
              <w:bidi w:val="0"/>
              <w:spacing w:line="360" w:lineRule="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通过上表可知，本项目风险潜势为I，评价工作等级为简单分析</w:t>
            </w:r>
            <w:r>
              <w:rPr>
                <w:rFonts w:hint="default" w:ascii="Times New Roman" w:hAnsi="Times New Roman" w:cs="Times New Roman"/>
                <w:color w:val="auto"/>
                <w:sz w:val="24"/>
                <w:szCs w:val="24"/>
                <w:highlight w:val="none"/>
              </w:rPr>
              <w:t>。</w:t>
            </w:r>
          </w:p>
          <w:p w14:paraId="3CF58D05">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6.2环境敏感目标</w:t>
            </w:r>
          </w:p>
          <w:p w14:paraId="0698EA4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本项目位于</w:t>
            </w:r>
            <w:r>
              <w:rPr>
                <w:rFonts w:hint="default" w:ascii="Times New Roman" w:hAnsi="Times New Roman" w:cs="Times New Roman"/>
                <w:color w:val="auto"/>
                <w:sz w:val="24"/>
                <w:szCs w:val="24"/>
                <w:highlight w:val="none"/>
                <w:lang w:val="en-US" w:eastAsia="zh-CN"/>
              </w:rPr>
              <w:t>第七师胡杨河市129团奎车公路以北、东羊场以东</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项目西南侧五五新镇居民区为环境风险敏感目标</w:t>
            </w:r>
            <w:r>
              <w:rPr>
                <w:rFonts w:hint="default" w:ascii="Times New Roman" w:hAnsi="Times New Roman" w:cs="Times New Roman"/>
                <w:color w:val="auto"/>
                <w:sz w:val="24"/>
                <w:szCs w:val="24"/>
                <w:highlight w:val="none"/>
                <w:lang w:eastAsia="zh-CN"/>
              </w:rPr>
              <w:t>。</w:t>
            </w:r>
          </w:p>
          <w:p w14:paraId="1A2547A2">
            <w:pPr>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 xml:space="preserve">6.3 </w:t>
            </w:r>
            <w:r>
              <w:rPr>
                <w:rFonts w:hint="default" w:ascii="Times New Roman" w:hAnsi="Times New Roman" w:cs="Times New Roman"/>
                <w:b/>
                <w:color w:val="auto"/>
                <w:sz w:val="24"/>
                <w:szCs w:val="24"/>
                <w:highlight w:val="none"/>
              </w:rPr>
              <w:t>环境风险后果分析</w:t>
            </w:r>
          </w:p>
          <w:p w14:paraId="72365F4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火灾的危害主要来自三方面，一是火源失去控制蔓延发展造成损失，另一方面是烟雾的快速、大方面扩散造成损失。最后是灭火过程中大量消耗消防用水，产生大量消防废水，可能污染地面土壤和地下水。</w:t>
            </w:r>
          </w:p>
          <w:p w14:paraId="585BE0F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陶瓷多管除尘器</w:t>
            </w:r>
            <w:r>
              <w:rPr>
                <w:rFonts w:hint="default" w:ascii="Times New Roman" w:hAnsi="Times New Roman" w:cs="Times New Roman"/>
                <w:color w:val="auto"/>
                <w:sz w:val="24"/>
                <w:szCs w:val="24"/>
                <w:highlight w:val="none"/>
              </w:rPr>
              <w:t>一旦发生</w:t>
            </w:r>
            <w:r>
              <w:rPr>
                <w:rFonts w:hint="default" w:ascii="Times New Roman" w:hAnsi="Times New Roman" w:cs="Times New Roman"/>
                <w:color w:val="auto"/>
                <w:sz w:val="24"/>
                <w:szCs w:val="24"/>
                <w:highlight w:val="none"/>
                <w:lang w:val="en-US" w:eastAsia="zh-CN"/>
              </w:rPr>
              <w:t>故障</w:t>
            </w:r>
            <w:r>
              <w:rPr>
                <w:rFonts w:hint="default" w:ascii="Times New Roman" w:hAnsi="Times New Roman" w:cs="Times New Roman"/>
                <w:color w:val="auto"/>
                <w:sz w:val="24"/>
                <w:szCs w:val="24"/>
                <w:highlight w:val="none"/>
              </w:rPr>
              <w:t>，极可能造成颗粒物超标排放。</w:t>
            </w:r>
            <w:r>
              <w:rPr>
                <w:rFonts w:hint="default" w:ascii="Times New Roman" w:hAnsi="Times New Roman" w:cs="Times New Roman"/>
                <w:color w:val="auto"/>
                <w:sz w:val="24"/>
                <w:szCs w:val="24"/>
                <w:highlight w:val="none"/>
                <w:lang w:val="en-US" w:eastAsia="zh-CN"/>
              </w:rPr>
              <w:t>脱硫措施发生故障则会造成二氧化硫超标排放。</w:t>
            </w:r>
          </w:p>
          <w:p w14:paraId="1241543A">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废机油发生泄漏可能造成土壤和地下水污染</w:t>
            </w:r>
            <w:r>
              <w:rPr>
                <w:rFonts w:hint="default" w:ascii="Times New Roman" w:hAnsi="Times New Roman" w:cs="Times New Roman"/>
                <w:bCs/>
                <w:color w:val="auto"/>
                <w:sz w:val="24"/>
                <w:szCs w:val="24"/>
                <w:highlight w:val="none"/>
              </w:rPr>
              <w:t>。</w:t>
            </w:r>
          </w:p>
          <w:p w14:paraId="4A98BDFF">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6.4 风险防范措施</w:t>
            </w:r>
          </w:p>
          <w:p w14:paraId="53AB0394">
            <w:pPr>
              <w:topLinePunct/>
              <w:spacing w:line="360" w:lineRule="auto"/>
              <w:rPr>
                <w:rFonts w:hint="default" w:ascii="Times New Roman" w:hAnsi="Times New Roman" w:cs="Times New Roman"/>
                <w:b/>
                <w:bCs/>
                <w:snapToGrid w:val="0"/>
                <w:color w:val="auto"/>
                <w:kern w:val="0"/>
                <w:sz w:val="24"/>
                <w:szCs w:val="24"/>
                <w:highlight w:val="none"/>
              </w:rPr>
            </w:pPr>
            <w:r>
              <w:rPr>
                <w:rFonts w:hint="default" w:ascii="Times New Roman" w:hAnsi="Times New Roman" w:cs="Times New Roman"/>
                <w:b/>
                <w:bCs/>
                <w:snapToGrid w:val="0"/>
                <w:color w:val="auto"/>
                <w:kern w:val="0"/>
                <w:sz w:val="24"/>
                <w:szCs w:val="24"/>
                <w:highlight w:val="none"/>
                <w:lang w:val="en-US" w:eastAsia="zh-CN"/>
              </w:rPr>
              <w:t>6.4.1 生物质燃烧</w:t>
            </w:r>
            <w:r>
              <w:rPr>
                <w:rFonts w:hint="default" w:ascii="Times New Roman" w:hAnsi="Times New Roman" w:cs="Times New Roman"/>
                <w:b/>
                <w:bCs/>
                <w:snapToGrid w:val="0"/>
                <w:color w:val="auto"/>
                <w:kern w:val="0"/>
                <w:sz w:val="24"/>
                <w:szCs w:val="24"/>
                <w:highlight w:val="none"/>
              </w:rPr>
              <w:t>烟气净化处理系统故障风险分析</w:t>
            </w:r>
          </w:p>
          <w:p w14:paraId="51E369F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（1）</w:t>
            </w:r>
            <w:r>
              <w:rPr>
                <w:rFonts w:hint="default" w:ascii="Times New Roman" w:hAnsi="Times New Roman" w:cs="Times New Roman"/>
                <w:color w:val="auto"/>
                <w:sz w:val="24"/>
                <w:szCs w:val="24"/>
                <w:highlight w:val="none"/>
                <w:lang w:val="en-US" w:eastAsia="zh-CN"/>
              </w:rPr>
              <w:t>生物质燃烧</w:t>
            </w:r>
            <w:r>
              <w:rPr>
                <w:rFonts w:hint="default" w:ascii="Times New Roman" w:hAnsi="Times New Roman" w:cs="Times New Roman"/>
                <w:color w:val="auto"/>
                <w:sz w:val="24"/>
                <w:szCs w:val="24"/>
                <w:highlight w:val="none"/>
                <w:lang w:eastAsia="zh-CN"/>
              </w:rPr>
              <w:t xml:space="preserve">烟气净化处理系统出现故障的一般原因 </w:t>
            </w:r>
          </w:p>
          <w:p w14:paraId="0D6D557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本工程热风炉除尘脱硫脱硝系统采用陶瓷多管除尘器+</w:t>
            </w:r>
            <w:bookmarkStart w:id="107" w:name="hmcheck_3181fce5901b4597834596afe753a484"/>
            <w:r>
              <w:rPr>
                <w:rFonts w:hint="default" w:ascii="Times New Roman" w:hAnsi="Times New Roman" w:cs="Times New Roman"/>
                <w:color w:val="auto"/>
                <w:sz w:val="24"/>
                <w:szCs w:val="24"/>
                <w:highlight w:val="none"/>
                <w:lang w:val="en-US" w:eastAsia="zh-CN"/>
              </w:rPr>
              <w:t>钙钠</w:t>
            </w:r>
            <w:bookmarkEnd w:id="107"/>
            <w:r>
              <w:rPr>
                <w:rFonts w:hint="default" w:ascii="Times New Roman" w:hAnsi="Times New Roman" w:cs="Times New Roman"/>
                <w:color w:val="auto"/>
                <w:sz w:val="24"/>
                <w:szCs w:val="24"/>
                <w:highlight w:val="none"/>
                <w:lang w:val="en-US" w:eastAsia="zh-CN"/>
              </w:rPr>
              <w:t>双碱法脱硫</w:t>
            </w:r>
            <w:r>
              <w:rPr>
                <w:rFonts w:hint="default" w:ascii="Times New Roman" w:hAnsi="Times New Roman" w:cs="Times New Roman"/>
                <w:color w:val="auto"/>
                <w:sz w:val="24"/>
                <w:szCs w:val="24"/>
                <w:highlight w:val="none"/>
                <w:lang w:eastAsia="zh-CN"/>
              </w:rPr>
              <w:t>净化的工艺。一旦烟气净化处理系统出现故障，会使系统处理效果下降，甚至不能运行；同时脱硫、除尘效率也会随烟气净化处理系统运行工况和热风炉工况的变化而有所波动。另外，</w:t>
            </w:r>
            <w:bookmarkStart w:id="108" w:name="hmcheck_21e74a35c18043d086d2a98f9f2f6a26"/>
            <w:r>
              <w:rPr>
                <w:rFonts w:hint="default" w:ascii="Times New Roman" w:hAnsi="Times New Roman" w:cs="Times New Roman"/>
                <w:color w:val="auto"/>
                <w:sz w:val="24"/>
                <w:szCs w:val="24"/>
                <w:highlight w:val="none"/>
                <w:lang w:eastAsia="zh-CN"/>
              </w:rPr>
              <w:t>陶瓷多管除尘器受</w:t>
            </w:r>
            <w:bookmarkEnd w:id="108"/>
            <w:r>
              <w:rPr>
                <w:rFonts w:hint="default" w:ascii="Times New Roman" w:hAnsi="Times New Roman" w:cs="Times New Roman"/>
                <w:color w:val="auto"/>
                <w:sz w:val="24"/>
                <w:szCs w:val="24"/>
                <w:highlight w:val="none"/>
                <w:lang w:val="en-US" w:eastAsia="zh-CN"/>
              </w:rPr>
              <w:t>燃烧</w:t>
            </w:r>
            <w:r>
              <w:rPr>
                <w:rFonts w:hint="default" w:ascii="Times New Roman" w:hAnsi="Times New Roman" w:cs="Times New Roman"/>
                <w:color w:val="auto"/>
                <w:sz w:val="24"/>
                <w:szCs w:val="24"/>
                <w:highlight w:val="none"/>
                <w:lang w:eastAsia="zh-CN"/>
              </w:rPr>
              <w:t>烟气腐蚀漏风及热风炉工况发生变化等因素，都会使除尘器效率受到影响，严重时除尘效率会急剧下降，同时除尘器输灰系统如发生破损等事故，易产生粉尘外泄，对周边环境造成不良影响，进而影响</w:t>
            </w:r>
            <w:r>
              <w:rPr>
                <w:rFonts w:hint="default" w:ascii="Times New Roman" w:hAnsi="Times New Roman" w:cs="Times New Roman"/>
                <w:color w:val="auto"/>
                <w:sz w:val="24"/>
                <w:szCs w:val="24"/>
                <w:highlight w:val="none"/>
                <w:lang w:val="en-US" w:eastAsia="zh-CN"/>
              </w:rPr>
              <w:t>生物质燃烧</w:t>
            </w:r>
            <w:r>
              <w:rPr>
                <w:rFonts w:hint="default" w:ascii="Times New Roman" w:hAnsi="Times New Roman" w:cs="Times New Roman"/>
                <w:color w:val="auto"/>
                <w:sz w:val="24"/>
                <w:szCs w:val="24"/>
                <w:highlight w:val="none"/>
                <w:lang w:eastAsia="zh-CN"/>
              </w:rPr>
              <w:t>烟气净化处理系统的处理效率，造成污染物超标排放。</w:t>
            </w:r>
          </w:p>
          <w:p w14:paraId="0265C6D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 xml:space="preserve">（2）事故影响分析及应对措施 </w:t>
            </w:r>
          </w:p>
          <w:p w14:paraId="32F16BC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大气环境影响预测表明，本工程在正常工况下，排放的各类污染物对项目地周边环境质量现状的影响很小，但烟气净化处理系统如出现事故，外排烟气会导致下风向污染物浓度急剧增大，对周边环境空气造成不利影响。本工程采用的清灰技术已经相当成熟，运行稳定，操作方便灵活。因此，只要加强对设备操作和维修人员的培训，熟练操作即可避免烟尘风险排放事故的出现。</w:t>
            </w:r>
          </w:p>
          <w:p w14:paraId="6FA928D6">
            <w:pPr>
              <w:topLinePunct/>
              <w:spacing w:line="360" w:lineRule="auto"/>
              <w:rPr>
                <w:rFonts w:hint="default" w:ascii="Times New Roman" w:hAnsi="Times New Roman" w:cs="Times New Roman"/>
                <w:b/>
                <w:snapToGrid w:val="0"/>
                <w:color w:val="auto"/>
                <w:kern w:val="0"/>
                <w:sz w:val="24"/>
                <w:highlight w:val="none"/>
              </w:rPr>
            </w:pPr>
            <w:r>
              <w:rPr>
                <w:rFonts w:hint="default" w:ascii="Times New Roman" w:hAnsi="Times New Roman" w:cs="Times New Roman"/>
                <w:b/>
                <w:snapToGrid w:val="0"/>
                <w:color w:val="auto"/>
                <w:kern w:val="0"/>
                <w:sz w:val="24"/>
                <w:highlight w:val="none"/>
                <w:lang w:val="en-US" w:eastAsia="zh-CN"/>
              </w:rPr>
              <w:t xml:space="preserve">6.4.2 </w:t>
            </w:r>
            <w:r>
              <w:rPr>
                <w:rFonts w:hint="default" w:ascii="Times New Roman" w:hAnsi="Times New Roman" w:cs="Times New Roman"/>
                <w:b/>
                <w:snapToGrid w:val="0"/>
                <w:color w:val="auto"/>
                <w:kern w:val="0"/>
                <w:sz w:val="24"/>
                <w:highlight w:val="none"/>
              </w:rPr>
              <w:t>烘干厂粉尘、烘干设备及成品库房风险分析</w:t>
            </w:r>
          </w:p>
          <w:p w14:paraId="78BE5386">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（1）粉尘危害、烘干设备火灾危害及成品库房火灾危害分析</w:t>
            </w:r>
          </w:p>
          <w:p w14:paraId="0188021F">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①粉尘危害</w:t>
            </w:r>
          </w:p>
          <w:p w14:paraId="25CD4440">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粉尘是指悬浮于空气中的微小颗粒物，是在初清、输送、烘干等过程产生的。粉尘为可燃的有机物质，平均粒径为20~50um，爆炸下限浓度为67~93g/m</w:t>
            </w:r>
            <w:r>
              <w:rPr>
                <w:rFonts w:hint="default" w:ascii="Times New Roman" w:hAnsi="Times New Roman" w:cs="Times New Roman"/>
                <w:bCs/>
                <w:snapToGrid w:val="0"/>
                <w:color w:val="auto"/>
                <w:kern w:val="0"/>
                <w:sz w:val="24"/>
                <w:highlight w:val="none"/>
                <w:vertAlign w:val="superscript"/>
              </w:rPr>
              <w:t>3</w:t>
            </w:r>
            <w:r>
              <w:rPr>
                <w:rFonts w:hint="default" w:ascii="Times New Roman" w:hAnsi="Times New Roman" w:cs="Times New Roman"/>
                <w:bCs/>
                <w:snapToGrid w:val="0"/>
                <w:color w:val="auto"/>
                <w:kern w:val="0"/>
                <w:sz w:val="24"/>
                <w:highlight w:val="none"/>
              </w:rPr>
              <w:t>，因此项目具有一定的爆炸危险特性。此外，粉尘还会影响人的呼吸系统的健康，易造成肺部及呼吸等方面的职业病。</w:t>
            </w:r>
          </w:p>
          <w:p w14:paraId="617A28A1">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②烘干设备火灾危害</w:t>
            </w:r>
          </w:p>
          <w:p w14:paraId="6CA8874E">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rPr>
              <w:t>玉米烘干设备引发的火灾是由于烘干设</w:t>
            </w:r>
            <w:r>
              <w:rPr>
                <w:rFonts w:hint="default" w:ascii="Times New Roman" w:hAnsi="Times New Roman" w:cs="Times New Roman"/>
                <w:bCs/>
                <w:snapToGrid w:val="0"/>
                <w:color w:val="auto"/>
                <w:kern w:val="0"/>
                <w:sz w:val="24"/>
                <w:highlight w:val="none"/>
                <w:lang w:val="en-GB"/>
              </w:rPr>
              <w:t>备的绝缘大量使用塑料、橡胶、稀释剂等易燃物品，在</w:t>
            </w:r>
            <w:r>
              <w:rPr>
                <w:rFonts w:hint="default" w:ascii="Times New Roman" w:hAnsi="Times New Roman" w:cs="Times New Roman"/>
                <w:bCs/>
                <w:snapToGrid w:val="0"/>
                <w:color w:val="auto"/>
                <w:kern w:val="0"/>
                <w:sz w:val="24"/>
                <w:highlight w:val="none"/>
              </w:rPr>
              <w:t>烘干设备</w:t>
            </w:r>
            <w:r>
              <w:rPr>
                <w:rFonts w:hint="default" w:ascii="Times New Roman" w:hAnsi="Times New Roman" w:cs="Times New Roman"/>
                <w:bCs/>
                <w:snapToGrid w:val="0"/>
                <w:color w:val="auto"/>
                <w:kern w:val="0"/>
                <w:sz w:val="24"/>
                <w:highlight w:val="none"/>
                <w:lang w:val="en-GB"/>
              </w:rPr>
              <w:t>运行时，由于过载、短路、漏电或开关的动作，熔断器的烧断，都可能引起高温、高热或产生电弧、放电火花，从而导致火灾和爆炸事故的发生。</w:t>
            </w:r>
          </w:p>
          <w:p w14:paraId="65ECF57C">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③成品堆放库房火灾危害</w:t>
            </w:r>
          </w:p>
          <w:p w14:paraId="07B0B792">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成品堆放库房发生火灾的风险是由于烘干后的玉米如长期且大量堆放于烘干厂内，在遇到明火或极端高温时有可能发生的火灾。</w:t>
            </w:r>
          </w:p>
          <w:p w14:paraId="7659D75D">
            <w:pPr>
              <w:topLinePunct/>
              <w:spacing w:line="360" w:lineRule="auto"/>
              <w:ind w:firstLine="480" w:firstLineChars="200"/>
              <w:rPr>
                <w:rFonts w:hint="default" w:ascii="Times New Roman" w:hAnsi="Times New Roman" w:cs="Times New Roman"/>
                <w:snapToGrid w:val="0"/>
                <w:color w:val="auto"/>
                <w:kern w:val="0"/>
                <w:sz w:val="24"/>
                <w:highlight w:val="none"/>
              </w:rPr>
            </w:pPr>
            <w:r>
              <w:rPr>
                <w:rFonts w:hint="default" w:ascii="Times New Roman" w:hAnsi="Times New Roman" w:cs="Times New Roman"/>
                <w:snapToGrid w:val="0"/>
                <w:color w:val="auto"/>
                <w:kern w:val="0"/>
                <w:sz w:val="24"/>
                <w:highlight w:val="none"/>
              </w:rPr>
              <w:t>（2）烘干厂相应事故防范措施</w:t>
            </w:r>
          </w:p>
          <w:p w14:paraId="1D51E2AB">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①粉尘事故防范措施</w:t>
            </w:r>
          </w:p>
          <w:p w14:paraId="6911B28B">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为保证库区生产的顺利进行，保证生产环境的卫生，有效地预防粉尘爆炸发生，评价建议采取以下措施：</w:t>
            </w:r>
          </w:p>
          <w:p w14:paraId="456BC716">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A.严格执行GB17440-1998《粮食加工、储运系统粉尘防爆安全规程》中相关规定。</w:t>
            </w:r>
          </w:p>
          <w:p w14:paraId="31410A62">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B. 控制、降低空气中的粉尘浓度，加强通风。</w:t>
            </w:r>
          </w:p>
          <w:p w14:paraId="1734FD13">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C.严禁明火作业，储粮流程中选用磁选装置，去除铁质等杂质。</w:t>
            </w:r>
          </w:p>
          <w:p w14:paraId="247B00E0">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D.电气设计和电机设备的选用，必须按照国家标准《爆炸和火灾危险环境电力装置设计规范》及行业标准进行设计和选型。</w:t>
            </w:r>
          </w:p>
          <w:p w14:paraId="0C5490BA">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E.加强管理，明确岗位责任制，定期检查、维修、保养设备及构件，确保各种工艺、电气、除尘设备的正常运行，以及消防系统的可靠性。</w:t>
            </w:r>
          </w:p>
          <w:p w14:paraId="0698C814">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rPr>
              <w:t>②烘干设</w:t>
            </w:r>
            <w:r>
              <w:rPr>
                <w:rFonts w:hint="default" w:ascii="Times New Roman" w:hAnsi="Times New Roman" w:cs="Times New Roman"/>
                <w:bCs/>
                <w:snapToGrid w:val="0"/>
                <w:color w:val="auto"/>
                <w:kern w:val="0"/>
                <w:sz w:val="24"/>
                <w:highlight w:val="none"/>
                <w:lang w:val="en-GB"/>
              </w:rPr>
              <w:t>备火灾或爆炸</w:t>
            </w:r>
            <w:r>
              <w:rPr>
                <w:rFonts w:hint="default" w:ascii="Times New Roman" w:hAnsi="Times New Roman" w:cs="Times New Roman"/>
                <w:bCs/>
                <w:snapToGrid w:val="0"/>
                <w:color w:val="auto"/>
                <w:kern w:val="0"/>
                <w:sz w:val="24"/>
                <w:highlight w:val="none"/>
              </w:rPr>
              <w:t>事故防范措施</w:t>
            </w:r>
          </w:p>
          <w:p w14:paraId="54E72B3B">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rPr>
              <w:t xml:space="preserve">A. </w:t>
            </w:r>
            <w:r>
              <w:rPr>
                <w:rFonts w:hint="default" w:ascii="Times New Roman" w:hAnsi="Times New Roman" w:cs="Times New Roman"/>
                <w:bCs/>
                <w:snapToGrid w:val="0"/>
                <w:color w:val="auto"/>
                <w:kern w:val="0"/>
                <w:sz w:val="24"/>
                <w:highlight w:val="none"/>
                <w:lang w:val="en-GB"/>
              </w:rPr>
              <w:t>排除易燃易爆环境</w:t>
            </w:r>
          </w:p>
          <w:p w14:paraId="5C3F44A8">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lang w:val="en-GB"/>
              </w:rPr>
              <w:t>保持良好通风，加速空气流通和交换，能有效降低因连续工作导致的烘箱温度升高，使之远离爆炸风险。</w:t>
            </w:r>
          </w:p>
          <w:p w14:paraId="5E17FC7C">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rPr>
              <w:t>B.</w:t>
            </w:r>
            <w:r>
              <w:rPr>
                <w:rFonts w:hint="default" w:ascii="Times New Roman" w:hAnsi="Times New Roman" w:cs="Times New Roman"/>
                <w:bCs/>
                <w:snapToGrid w:val="0"/>
                <w:color w:val="auto"/>
                <w:kern w:val="0"/>
                <w:sz w:val="24"/>
                <w:highlight w:val="none"/>
                <w:lang w:val="en-GB"/>
              </w:rPr>
              <w:t>排除各种电气火源</w:t>
            </w:r>
          </w:p>
          <w:p w14:paraId="34CF570E">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lang w:val="en-GB"/>
              </w:rPr>
              <w:t>为了防止电气火灾与爆炸事故的发生，首先应当正确地选择、安装、使用和维护电气设备及线路，并按规定正确采用各种保护措施。并定期检查，及时发现着火隐患。</w:t>
            </w:r>
          </w:p>
          <w:p w14:paraId="07E0EFEF">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rPr>
              <w:t>C.</w:t>
            </w:r>
            <w:r>
              <w:rPr>
                <w:rFonts w:hint="default" w:ascii="Times New Roman" w:hAnsi="Times New Roman" w:cs="Times New Roman"/>
                <w:bCs/>
                <w:snapToGrid w:val="0"/>
                <w:color w:val="auto"/>
                <w:kern w:val="0"/>
                <w:sz w:val="24"/>
                <w:highlight w:val="none"/>
                <w:lang w:val="en-GB"/>
              </w:rPr>
              <w:t>加大消防监督、整顿力度</w:t>
            </w:r>
          </w:p>
          <w:p w14:paraId="4523D32F">
            <w:pPr>
              <w:topLinePunct/>
              <w:spacing w:line="360" w:lineRule="auto"/>
              <w:ind w:firstLine="480" w:firstLineChars="200"/>
              <w:rPr>
                <w:rFonts w:hint="default" w:ascii="Times New Roman" w:hAnsi="Times New Roman" w:cs="Times New Roman"/>
                <w:bCs/>
                <w:snapToGrid w:val="0"/>
                <w:color w:val="auto"/>
                <w:kern w:val="0"/>
                <w:sz w:val="24"/>
                <w:highlight w:val="none"/>
                <w:lang w:val="en-GB"/>
              </w:rPr>
            </w:pPr>
            <w:r>
              <w:rPr>
                <w:rFonts w:hint="default" w:ascii="Times New Roman" w:hAnsi="Times New Roman" w:cs="Times New Roman"/>
                <w:bCs/>
                <w:snapToGrid w:val="0"/>
                <w:color w:val="auto"/>
                <w:kern w:val="0"/>
                <w:sz w:val="24"/>
                <w:highlight w:val="none"/>
                <w:lang w:val="en-GB"/>
              </w:rPr>
              <w:t>严格按照电气安全规程等国家有关法规规定，加大监督力度，对在安全检查中发现的电气安装不合格、线路老化、用电设施不配套，乱拉乱接、超负荷运行等问题，必须将其及时纠正。</w:t>
            </w:r>
          </w:p>
          <w:p w14:paraId="0E540046">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lang w:val="en-GB"/>
              </w:rPr>
              <w:t>③成品堆放库房火灾</w:t>
            </w:r>
            <w:r>
              <w:rPr>
                <w:rFonts w:hint="default" w:ascii="Times New Roman" w:hAnsi="Times New Roman" w:cs="Times New Roman"/>
                <w:bCs/>
                <w:snapToGrid w:val="0"/>
                <w:color w:val="auto"/>
                <w:kern w:val="0"/>
                <w:sz w:val="24"/>
                <w:highlight w:val="none"/>
              </w:rPr>
              <w:t>事故防范措施</w:t>
            </w:r>
          </w:p>
          <w:p w14:paraId="1506E893">
            <w:pPr>
              <w:topLinePunct/>
              <w:spacing w:line="360" w:lineRule="auto"/>
              <w:ind w:firstLine="480" w:firstLineChars="200"/>
              <w:rPr>
                <w:rFonts w:hint="default" w:ascii="Times New Roman" w:hAnsi="Times New Roman" w:cs="Times New Roman"/>
                <w:bCs/>
                <w:snapToGrid w:val="0"/>
                <w:color w:val="auto"/>
                <w:kern w:val="0"/>
                <w:sz w:val="24"/>
                <w:highlight w:val="none"/>
              </w:rPr>
            </w:pPr>
            <w:r>
              <w:rPr>
                <w:rFonts w:hint="default" w:ascii="Times New Roman" w:hAnsi="Times New Roman" w:cs="Times New Roman"/>
                <w:bCs/>
                <w:snapToGrid w:val="0"/>
                <w:color w:val="auto"/>
                <w:kern w:val="0"/>
                <w:sz w:val="24"/>
                <w:highlight w:val="none"/>
                <w:lang w:val="en-GB"/>
              </w:rPr>
              <w:t>为避免</w:t>
            </w:r>
            <w:r>
              <w:rPr>
                <w:rFonts w:hint="default" w:ascii="Times New Roman" w:hAnsi="Times New Roman" w:cs="Times New Roman"/>
                <w:bCs/>
                <w:snapToGrid w:val="0"/>
                <w:color w:val="auto"/>
                <w:kern w:val="0"/>
                <w:sz w:val="24"/>
                <w:highlight w:val="none"/>
              </w:rPr>
              <w:t>堆场发生火灾，烘干后的玉米应待到温度恢复至进料温度时及时运至库房</w:t>
            </w:r>
            <w:r>
              <w:rPr>
                <w:rFonts w:hint="default" w:ascii="Times New Roman" w:hAnsi="Times New Roman" w:cs="Times New Roman"/>
                <w:bCs/>
                <w:snapToGrid w:val="0"/>
                <w:color w:val="auto"/>
                <w:kern w:val="0"/>
                <w:sz w:val="24"/>
                <w:highlight w:val="none"/>
                <w:lang w:val="en-GB"/>
              </w:rPr>
              <w:t>或打包外运；在</w:t>
            </w:r>
            <w:bookmarkStart w:id="109" w:name="hmcheck_8e01c6ac6b6b4be2b7ccbcab0d6b2432"/>
            <w:r>
              <w:rPr>
                <w:rFonts w:hint="default" w:ascii="Times New Roman" w:hAnsi="Times New Roman" w:cs="Times New Roman"/>
                <w:bCs/>
                <w:snapToGrid w:val="0"/>
                <w:color w:val="auto"/>
                <w:kern w:val="0"/>
                <w:sz w:val="24"/>
                <w:highlight w:val="none"/>
                <w:lang w:val="en-GB"/>
              </w:rPr>
              <w:t>遇</w:t>
            </w:r>
            <w:bookmarkEnd w:id="109"/>
            <w:r>
              <w:rPr>
                <w:rFonts w:hint="default" w:ascii="Times New Roman" w:hAnsi="Times New Roman" w:cs="Times New Roman"/>
                <w:bCs/>
                <w:snapToGrid w:val="0"/>
                <w:color w:val="auto"/>
                <w:kern w:val="0"/>
                <w:sz w:val="24"/>
                <w:highlight w:val="none"/>
              </w:rPr>
              <w:t>极端高温时加强对临时存放厂的降温与通风</w:t>
            </w:r>
            <w:r>
              <w:rPr>
                <w:rFonts w:hint="default" w:ascii="Times New Roman" w:hAnsi="Times New Roman" w:cs="Times New Roman"/>
                <w:bCs/>
                <w:snapToGrid w:val="0"/>
                <w:color w:val="auto"/>
                <w:kern w:val="0"/>
                <w:sz w:val="24"/>
                <w:highlight w:val="none"/>
                <w:lang w:val="en-GB"/>
              </w:rPr>
              <w:t>，从而避免</w:t>
            </w:r>
            <w:r>
              <w:rPr>
                <w:rFonts w:hint="default" w:ascii="Times New Roman" w:hAnsi="Times New Roman" w:cs="Times New Roman"/>
                <w:bCs/>
                <w:snapToGrid w:val="0"/>
                <w:color w:val="auto"/>
                <w:kern w:val="0"/>
                <w:sz w:val="24"/>
                <w:highlight w:val="none"/>
              </w:rPr>
              <w:t>堆放仓库火灾的发生。</w:t>
            </w:r>
          </w:p>
          <w:p w14:paraId="0AD04466">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 xml:space="preserve">6.4.3 </w:t>
            </w:r>
            <w:r>
              <w:rPr>
                <w:rFonts w:hint="default" w:ascii="Times New Roman" w:hAnsi="Times New Roman" w:cs="Times New Roman"/>
                <w:b/>
                <w:bCs/>
                <w:color w:val="auto"/>
                <w:sz w:val="24"/>
                <w:szCs w:val="24"/>
                <w:highlight w:val="none"/>
              </w:rPr>
              <w:t>事故发生后的合理施救措施</w:t>
            </w:r>
          </w:p>
          <w:p w14:paraId="7022CA7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抢险人员必须佩戴氧气呼吸器，不能采用口罩或其他不能防止一氧化碳中毒的呼吸器具。进入气体扩散区域的人员，应着全棉内衣和相应的劳动防护服，确保发生爆炸时不受伤害。接近燃烧区域的人员应穿戴防火隔热服，防止热辐射灼伤。水枪阵地，尤其是下风方向的，要尽可能避开管道、设备，防止管道、设备突然破裂造成中毒事故。火场指挥员要注意观察风向、地形及火势，从上风或</w:t>
            </w:r>
            <w:bookmarkStart w:id="110" w:name="hmcheck_d494c1e990c847f5b94d7c9c763479bc"/>
            <w:bookmarkStart w:id="111" w:name="hmcheck_036a779f3b6a4ac9b48f2489e29ab4e0"/>
            <w:r>
              <w:rPr>
                <w:rFonts w:hint="default" w:ascii="Times New Roman" w:hAnsi="Times New Roman" w:cs="Times New Roman"/>
                <w:color w:val="auto"/>
                <w:sz w:val="24"/>
                <w:szCs w:val="24"/>
                <w:highlight w:val="none"/>
              </w:rPr>
              <w:t>侧</w:t>
            </w:r>
            <w:bookmarkEnd w:id="110"/>
            <w:bookmarkEnd w:id="111"/>
            <w:r>
              <w:rPr>
                <w:rFonts w:hint="default" w:ascii="Times New Roman" w:hAnsi="Times New Roman" w:cs="Times New Roman"/>
                <w:color w:val="auto"/>
                <w:sz w:val="24"/>
                <w:szCs w:val="24"/>
                <w:highlight w:val="none"/>
              </w:rPr>
              <w:t>上风接近火场，一旦发现爆炸征兆，及时组织撤离。</w:t>
            </w:r>
          </w:p>
          <w:p w14:paraId="6F94D7C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施救人员出现头晕、呕吐等中毒症状，应及时送往医院救护。</w:t>
            </w:r>
            <w:bookmarkStart w:id="112" w:name="hmcheck_c0e260b4f4754c7396e131ab182b9564"/>
            <w:bookmarkStart w:id="113" w:name="hmcheck_6495bcebc63d4a8ebf3a3b00bfa0a905"/>
            <w:r>
              <w:rPr>
                <w:rFonts w:hint="default" w:ascii="Times New Roman" w:hAnsi="Times New Roman" w:cs="Times New Roman"/>
                <w:color w:val="auto"/>
                <w:sz w:val="24"/>
                <w:szCs w:val="24"/>
                <w:highlight w:val="none"/>
              </w:rPr>
              <w:t>若</w:t>
            </w:r>
            <w:bookmarkEnd w:id="112"/>
            <w:bookmarkEnd w:id="113"/>
            <w:r>
              <w:rPr>
                <w:rFonts w:hint="default" w:ascii="Times New Roman" w:hAnsi="Times New Roman" w:cs="Times New Roman"/>
                <w:color w:val="auto"/>
                <w:sz w:val="24"/>
                <w:szCs w:val="24"/>
                <w:highlight w:val="none"/>
              </w:rPr>
              <w:t>人员出现口吐白沫、失去知觉、停止呼吸等反应，应使其离开现场并立即施人工呼吸，待恢复知觉后送往高压</w:t>
            </w:r>
            <w:bookmarkStart w:id="114" w:name="hmcheck_bdd02b29269f4f0bb8b4c9426598d4d0"/>
            <w:r>
              <w:rPr>
                <w:rFonts w:hint="default" w:ascii="Times New Roman" w:hAnsi="Times New Roman" w:cs="Times New Roman"/>
                <w:color w:val="auto"/>
                <w:sz w:val="24"/>
                <w:szCs w:val="24"/>
                <w:highlight w:val="none"/>
                <w:lang w:eastAsia="zh-CN"/>
              </w:rPr>
              <w:t>氧舱</w:t>
            </w:r>
            <w:bookmarkEnd w:id="114"/>
            <w:r>
              <w:rPr>
                <w:rFonts w:hint="default" w:ascii="Times New Roman" w:hAnsi="Times New Roman" w:cs="Times New Roman"/>
                <w:color w:val="auto"/>
                <w:sz w:val="24"/>
                <w:szCs w:val="24"/>
                <w:highlight w:val="none"/>
              </w:rPr>
              <w:t>进行治疗。停放车辆时，要选择上风或</w:t>
            </w:r>
            <w:bookmarkStart w:id="115" w:name="hmcheck_4678417d9ffd4ab780cdc09b4e9882a3"/>
            <w:bookmarkStart w:id="116" w:name="hmcheck_d4dbf81312cd4657860492e67141fb10"/>
            <w:r>
              <w:rPr>
                <w:rFonts w:hint="default" w:ascii="Times New Roman" w:hAnsi="Times New Roman" w:cs="Times New Roman"/>
                <w:color w:val="auto"/>
                <w:sz w:val="24"/>
                <w:szCs w:val="24"/>
                <w:highlight w:val="none"/>
              </w:rPr>
              <w:t>侧</w:t>
            </w:r>
            <w:bookmarkEnd w:id="115"/>
            <w:bookmarkEnd w:id="116"/>
            <w:r>
              <w:rPr>
                <w:rFonts w:hint="default" w:ascii="Times New Roman" w:hAnsi="Times New Roman" w:cs="Times New Roman"/>
                <w:color w:val="auto"/>
                <w:sz w:val="24"/>
                <w:szCs w:val="24"/>
                <w:highlight w:val="none"/>
              </w:rPr>
              <w:t>上风方向，保持适当距离，车头面向便于撤退的方向。停放时要避开着火设备、易爆罐体突破的方向，防止爆炸飞散物损毁车辆。</w:t>
            </w:r>
          </w:p>
          <w:p w14:paraId="256DDA0F">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6.5 应急预案的建立</w:t>
            </w:r>
          </w:p>
          <w:p w14:paraId="1A429678">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针对以上的分析，建设单位在项目实施后应该建立相应的环境风险事故应急预案。应急预案所要求的基本内容可参照下表中的相关内容。</w:t>
            </w:r>
          </w:p>
          <w:p w14:paraId="5BD93EED">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18</w:t>
            </w:r>
            <w:r>
              <w:rPr>
                <w:rFonts w:hint="default" w:ascii="Times New Roman" w:hAnsi="Times New Roman" w:cs="Times New Roman"/>
                <w:b/>
                <w:bCs/>
                <w:color w:val="auto"/>
                <w:highlight w:val="none"/>
                <w:lang w:val="en-US" w:eastAsia="zh-CN"/>
              </w:rPr>
              <w:t xml:space="preserve">   应急预案内容</w:t>
            </w:r>
          </w:p>
          <w:tbl>
            <w:tblPr>
              <w:tblStyle w:val="19"/>
              <w:tblW w:w="907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18"/>
              <w:gridCol w:w="6094"/>
            </w:tblGrid>
            <w:tr w14:paraId="3A76E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12" w:space="0"/>
                    <w:bottom w:val="single" w:color="auto" w:sz="12" w:space="0"/>
                    <w:right w:val="single" w:color="auto" w:sz="4" w:space="0"/>
                  </w:tcBorders>
                  <w:vAlign w:val="center"/>
                </w:tcPr>
                <w:p w14:paraId="3BD8641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2318" w:type="dxa"/>
                  <w:tcBorders>
                    <w:top w:val="single" w:color="auto" w:sz="12" w:space="0"/>
                    <w:left w:val="single" w:color="auto" w:sz="4" w:space="0"/>
                    <w:bottom w:val="single" w:color="auto" w:sz="12" w:space="0"/>
                    <w:right w:val="single" w:color="auto" w:sz="4" w:space="0"/>
                  </w:tcBorders>
                  <w:vAlign w:val="center"/>
                </w:tcPr>
                <w:p w14:paraId="3258C0B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w:t>
                  </w:r>
                </w:p>
              </w:tc>
              <w:tc>
                <w:tcPr>
                  <w:tcW w:w="6094" w:type="dxa"/>
                  <w:tcBorders>
                    <w:top w:val="single" w:color="auto" w:sz="12" w:space="0"/>
                    <w:left w:val="single" w:color="auto" w:sz="4" w:space="0"/>
                    <w:bottom w:val="single" w:color="auto" w:sz="12" w:space="0"/>
                  </w:tcBorders>
                  <w:vAlign w:val="center"/>
                </w:tcPr>
                <w:p w14:paraId="4DF383D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内容及要求</w:t>
                  </w:r>
                </w:p>
              </w:tc>
            </w:tr>
            <w:tr w14:paraId="5CB27C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12" w:space="0"/>
                    <w:bottom w:val="single" w:color="auto" w:sz="4" w:space="0"/>
                    <w:right w:val="single" w:color="auto" w:sz="4" w:space="0"/>
                  </w:tcBorders>
                  <w:vAlign w:val="center"/>
                </w:tcPr>
                <w:p w14:paraId="5921639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w:t>
                  </w:r>
                </w:p>
              </w:tc>
              <w:tc>
                <w:tcPr>
                  <w:tcW w:w="2318" w:type="dxa"/>
                  <w:tcBorders>
                    <w:top w:val="single" w:color="auto" w:sz="12" w:space="0"/>
                    <w:left w:val="single" w:color="auto" w:sz="4" w:space="0"/>
                    <w:bottom w:val="single" w:color="auto" w:sz="4" w:space="0"/>
                    <w:right w:val="single" w:color="auto" w:sz="4" w:space="0"/>
                  </w:tcBorders>
                  <w:vAlign w:val="center"/>
                </w:tcPr>
                <w:p w14:paraId="3D5485C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应急计划区</w:t>
                  </w:r>
                </w:p>
              </w:tc>
              <w:tc>
                <w:tcPr>
                  <w:tcW w:w="6094" w:type="dxa"/>
                  <w:tcBorders>
                    <w:top w:val="single" w:color="auto" w:sz="12" w:space="0"/>
                    <w:left w:val="single" w:color="auto" w:sz="4" w:space="0"/>
                    <w:bottom w:val="single" w:color="auto" w:sz="4" w:space="0"/>
                  </w:tcBorders>
                  <w:vAlign w:val="center"/>
                </w:tcPr>
                <w:p w14:paraId="38DC4C2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危险目标</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装置</w:t>
                  </w:r>
                  <w:bookmarkStart w:id="117" w:name="hmcheck_ae2105590c6a4831891c7bd5533bdfb1"/>
                  <w:r>
                    <w:rPr>
                      <w:rFonts w:hint="default" w:ascii="Times New Roman" w:hAnsi="Times New Roman" w:cs="Times New Roman"/>
                      <w:b w:val="0"/>
                      <w:bCs w:val="0"/>
                      <w:color w:val="auto"/>
                      <w:sz w:val="21"/>
                      <w:szCs w:val="21"/>
                      <w:highlight w:val="none"/>
                    </w:rPr>
                    <w:t>区</w:t>
                  </w:r>
                  <w:bookmarkEnd w:id="117"/>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，环境保护目标</w:t>
                  </w:r>
                </w:p>
              </w:tc>
            </w:tr>
            <w:tr w14:paraId="30235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5FA1383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w:t>
                  </w:r>
                </w:p>
              </w:tc>
              <w:tc>
                <w:tcPr>
                  <w:tcW w:w="2318" w:type="dxa"/>
                  <w:tcBorders>
                    <w:top w:val="single" w:color="auto" w:sz="4" w:space="0"/>
                    <w:left w:val="single" w:color="auto" w:sz="4" w:space="0"/>
                    <w:bottom w:val="single" w:color="auto" w:sz="4" w:space="0"/>
                    <w:right w:val="single" w:color="auto" w:sz="4" w:space="0"/>
                  </w:tcBorders>
                  <w:vAlign w:val="center"/>
                </w:tcPr>
                <w:p w14:paraId="5852F91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应急组织机构、人员</w:t>
                  </w:r>
                </w:p>
              </w:tc>
              <w:tc>
                <w:tcPr>
                  <w:tcW w:w="6094" w:type="dxa"/>
                  <w:tcBorders>
                    <w:top w:val="single" w:color="auto" w:sz="4" w:space="0"/>
                    <w:left w:val="single" w:color="auto" w:sz="4" w:space="0"/>
                    <w:bottom w:val="single" w:color="auto" w:sz="4" w:space="0"/>
                  </w:tcBorders>
                  <w:vAlign w:val="center"/>
                </w:tcPr>
                <w:p w14:paraId="29511EA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项目区、地区应急组织机构、人员</w:t>
                  </w:r>
                </w:p>
              </w:tc>
            </w:tr>
            <w:tr w14:paraId="2DB1B0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378A63E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w:t>
                  </w:r>
                </w:p>
              </w:tc>
              <w:tc>
                <w:tcPr>
                  <w:tcW w:w="2318" w:type="dxa"/>
                  <w:tcBorders>
                    <w:top w:val="single" w:color="auto" w:sz="4" w:space="0"/>
                    <w:left w:val="single" w:color="auto" w:sz="4" w:space="0"/>
                    <w:bottom w:val="single" w:color="auto" w:sz="4" w:space="0"/>
                    <w:right w:val="single" w:color="auto" w:sz="4" w:space="0"/>
                  </w:tcBorders>
                  <w:vAlign w:val="center"/>
                </w:tcPr>
                <w:p w14:paraId="2C12DFC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预案分级响应条件</w:t>
                  </w:r>
                </w:p>
              </w:tc>
              <w:tc>
                <w:tcPr>
                  <w:tcW w:w="6094" w:type="dxa"/>
                  <w:tcBorders>
                    <w:top w:val="single" w:color="auto" w:sz="4" w:space="0"/>
                    <w:left w:val="single" w:color="auto" w:sz="4" w:space="0"/>
                    <w:bottom w:val="single" w:color="auto" w:sz="4" w:space="0"/>
                  </w:tcBorders>
                  <w:vAlign w:val="center"/>
                </w:tcPr>
                <w:p w14:paraId="089228A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规定预案的级别及分级响应程序</w:t>
                  </w:r>
                </w:p>
              </w:tc>
            </w:tr>
            <w:tr w14:paraId="6DEE4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3ACD79C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4</w:t>
                  </w:r>
                </w:p>
              </w:tc>
              <w:tc>
                <w:tcPr>
                  <w:tcW w:w="2318" w:type="dxa"/>
                  <w:tcBorders>
                    <w:top w:val="single" w:color="auto" w:sz="4" w:space="0"/>
                    <w:left w:val="single" w:color="auto" w:sz="4" w:space="0"/>
                    <w:bottom w:val="single" w:color="auto" w:sz="4" w:space="0"/>
                    <w:right w:val="single" w:color="auto" w:sz="4" w:space="0"/>
                  </w:tcBorders>
                  <w:vAlign w:val="center"/>
                </w:tcPr>
                <w:p w14:paraId="2E56855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应急救援保障</w:t>
                  </w:r>
                </w:p>
              </w:tc>
              <w:tc>
                <w:tcPr>
                  <w:tcW w:w="6094" w:type="dxa"/>
                  <w:tcBorders>
                    <w:top w:val="single" w:color="auto" w:sz="4" w:space="0"/>
                    <w:left w:val="single" w:color="auto" w:sz="4" w:space="0"/>
                    <w:bottom w:val="single" w:color="auto" w:sz="4" w:space="0"/>
                  </w:tcBorders>
                  <w:vAlign w:val="center"/>
                </w:tcPr>
                <w:p w14:paraId="4BB6828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应急设施，设备与器材等</w:t>
                  </w:r>
                </w:p>
              </w:tc>
            </w:tr>
            <w:tr w14:paraId="42AA3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3E2F032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5</w:t>
                  </w:r>
                </w:p>
              </w:tc>
              <w:tc>
                <w:tcPr>
                  <w:tcW w:w="2318" w:type="dxa"/>
                  <w:tcBorders>
                    <w:top w:val="single" w:color="auto" w:sz="4" w:space="0"/>
                    <w:left w:val="single" w:color="auto" w:sz="4" w:space="0"/>
                    <w:bottom w:val="single" w:color="auto" w:sz="4" w:space="0"/>
                    <w:right w:val="single" w:color="auto" w:sz="4" w:space="0"/>
                  </w:tcBorders>
                  <w:vAlign w:val="center"/>
                </w:tcPr>
                <w:p w14:paraId="468C1F4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报警、通讯联络方式</w:t>
                  </w:r>
                </w:p>
              </w:tc>
              <w:tc>
                <w:tcPr>
                  <w:tcW w:w="6094" w:type="dxa"/>
                  <w:tcBorders>
                    <w:top w:val="single" w:color="auto" w:sz="4" w:space="0"/>
                    <w:left w:val="single" w:color="auto" w:sz="4" w:space="0"/>
                    <w:bottom w:val="single" w:color="auto" w:sz="4" w:space="0"/>
                  </w:tcBorders>
                  <w:vAlign w:val="center"/>
                </w:tcPr>
                <w:p w14:paraId="38BF017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规定应急状态下的</w:t>
                  </w:r>
                  <w:bookmarkStart w:id="118" w:name="hmcheck_183fe60244c4488fb543c608155d05e0"/>
                  <w:r>
                    <w:rPr>
                      <w:rFonts w:hint="default" w:ascii="Times New Roman" w:hAnsi="Times New Roman" w:cs="Times New Roman"/>
                      <w:b w:val="0"/>
                      <w:bCs w:val="0"/>
                      <w:color w:val="auto"/>
                      <w:sz w:val="21"/>
                      <w:szCs w:val="21"/>
                      <w:highlight w:val="none"/>
                    </w:rPr>
                    <w:t>报警通讯</w:t>
                  </w:r>
                  <w:bookmarkEnd w:id="118"/>
                  <w:r>
                    <w:rPr>
                      <w:rFonts w:hint="default" w:ascii="Times New Roman" w:hAnsi="Times New Roman" w:cs="Times New Roman"/>
                      <w:b w:val="0"/>
                      <w:bCs w:val="0"/>
                      <w:color w:val="auto"/>
                      <w:sz w:val="21"/>
                      <w:szCs w:val="21"/>
                      <w:highlight w:val="none"/>
                    </w:rPr>
                    <w:t>方式、通知方式和交通保障、管制</w:t>
                  </w:r>
                </w:p>
              </w:tc>
            </w:tr>
            <w:tr w14:paraId="42E4B0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25FB830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6</w:t>
                  </w:r>
                </w:p>
              </w:tc>
              <w:tc>
                <w:tcPr>
                  <w:tcW w:w="2318" w:type="dxa"/>
                  <w:tcBorders>
                    <w:top w:val="single" w:color="auto" w:sz="4" w:space="0"/>
                    <w:left w:val="single" w:color="auto" w:sz="4" w:space="0"/>
                    <w:bottom w:val="single" w:color="auto" w:sz="4" w:space="0"/>
                    <w:right w:val="single" w:color="auto" w:sz="4" w:space="0"/>
                  </w:tcBorders>
                  <w:vAlign w:val="center"/>
                </w:tcPr>
                <w:p w14:paraId="50DAF92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应急环境监测、抢险、</w:t>
                  </w:r>
                </w:p>
                <w:p w14:paraId="5116533A">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救援及控制措施</w:t>
                  </w:r>
                </w:p>
              </w:tc>
              <w:tc>
                <w:tcPr>
                  <w:tcW w:w="6094" w:type="dxa"/>
                  <w:tcBorders>
                    <w:top w:val="single" w:color="auto" w:sz="4" w:space="0"/>
                    <w:left w:val="single" w:color="auto" w:sz="4" w:space="0"/>
                    <w:bottom w:val="single" w:color="auto" w:sz="4" w:space="0"/>
                  </w:tcBorders>
                  <w:vAlign w:val="center"/>
                </w:tcPr>
                <w:p w14:paraId="13E115E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由专业队伍负责对事故现场进行侦查监测，对事故性质、参数与后果进行评估，为指挥部门提供决策依据</w:t>
                  </w:r>
                </w:p>
              </w:tc>
            </w:tr>
            <w:tr w14:paraId="40C3B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5A8801F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7</w:t>
                  </w:r>
                </w:p>
              </w:tc>
              <w:tc>
                <w:tcPr>
                  <w:tcW w:w="2318" w:type="dxa"/>
                  <w:tcBorders>
                    <w:top w:val="single" w:color="auto" w:sz="4" w:space="0"/>
                    <w:left w:val="single" w:color="auto" w:sz="4" w:space="0"/>
                    <w:bottom w:val="single" w:color="auto" w:sz="4" w:space="0"/>
                    <w:right w:val="single" w:color="auto" w:sz="4" w:space="0"/>
                  </w:tcBorders>
                  <w:vAlign w:val="center"/>
                </w:tcPr>
                <w:p w14:paraId="2A44953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应急检测、防护措施、</w:t>
                  </w:r>
                </w:p>
                <w:p w14:paraId="15D1B08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清除泄漏措施和器材</w:t>
                  </w:r>
                </w:p>
              </w:tc>
              <w:tc>
                <w:tcPr>
                  <w:tcW w:w="6094" w:type="dxa"/>
                  <w:tcBorders>
                    <w:top w:val="single" w:color="auto" w:sz="4" w:space="0"/>
                    <w:left w:val="single" w:color="auto" w:sz="4" w:space="0"/>
                    <w:bottom w:val="single" w:color="auto" w:sz="4" w:space="0"/>
                  </w:tcBorders>
                  <w:vAlign w:val="center"/>
                </w:tcPr>
                <w:p w14:paraId="0431A34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事故现场、邻近区域、控制防火区域，控制和清除污染措施及相应设备</w:t>
                  </w:r>
                </w:p>
              </w:tc>
            </w:tr>
            <w:tr w14:paraId="69C1C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60F9C6D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8</w:t>
                  </w:r>
                </w:p>
              </w:tc>
              <w:tc>
                <w:tcPr>
                  <w:tcW w:w="2318" w:type="dxa"/>
                  <w:tcBorders>
                    <w:top w:val="single" w:color="auto" w:sz="4" w:space="0"/>
                    <w:left w:val="single" w:color="auto" w:sz="4" w:space="0"/>
                    <w:bottom w:val="single" w:color="auto" w:sz="4" w:space="0"/>
                    <w:right w:val="single" w:color="auto" w:sz="4" w:space="0"/>
                  </w:tcBorders>
                  <w:vAlign w:val="center"/>
                </w:tcPr>
                <w:p w14:paraId="1F6C87D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人员紧急撤离、疏散，应急剂量控制、撤离组织计划</w:t>
                  </w:r>
                </w:p>
              </w:tc>
              <w:tc>
                <w:tcPr>
                  <w:tcW w:w="6094" w:type="dxa"/>
                  <w:tcBorders>
                    <w:top w:val="single" w:color="auto" w:sz="4" w:space="0"/>
                    <w:left w:val="single" w:color="auto" w:sz="4" w:space="0"/>
                    <w:bottom w:val="single" w:color="auto" w:sz="4" w:space="0"/>
                  </w:tcBorders>
                  <w:vAlign w:val="center"/>
                </w:tcPr>
                <w:p w14:paraId="70D3653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事故现场、项目区邻近区、受事故影响的区域人员及公众对毒物应急剂量控制规定，撤离组织计划及救护，医疗救护与公众健康</w:t>
                  </w:r>
                </w:p>
              </w:tc>
            </w:tr>
            <w:tr w14:paraId="410B9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5260E69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9</w:t>
                  </w:r>
                </w:p>
              </w:tc>
              <w:tc>
                <w:tcPr>
                  <w:tcW w:w="2318" w:type="dxa"/>
                  <w:tcBorders>
                    <w:top w:val="single" w:color="auto" w:sz="4" w:space="0"/>
                    <w:left w:val="single" w:color="auto" w:sz="4" w:space="0"/>
                    <w:bottom w:val="single" w:color="auto" w:sz="4" w:space="0"/>
                    <w:right w:val="single" w:color="auto" w:sz="4" w:space="0"/>
                  </w:tcBorders>
                  <w:vAlign w:val="center"/>
                </w:tcPr>
                <w:p w14:paraId="5519F12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事故应急救援关闭程序与恢复措施</w:t>
                  </w:r>
                </w:p>
              </w:tc>
              <w:tc>
                <w:tcPr>
                  <w:tcW w:w="6094" w:type="dxa"/>
                  <w:tcBorders>
                    <w:top w:val="single" w:color="auto" w:sz="4" w:space="0"/>
                    <w:left w:val="single" w:color="auto" w:sz="4" w:space="0"/>
                    <w:bottom w:val="single" w:color="auto" w:sz="4" w:space="0"/>
                  </w:tcBorders>
                  <w:vAlign w:val="center"/>
                </w:tcPr>
                <w:p w14:paraId="692258B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规定应急状态终止程序</w:t>
                  </w:r>
                </w:p>
                <w:p w14:paraId="046E344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事故现场上后处理，恢复措施</w:t>
                  </w:r>
                </w:p>
                <w:p w14:paraId="27B0C81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邻近区域解除事故警戒及善后恢复措施</w:t>
                  </w:r>
                </w:p>
              </w:tc>
            </w:tr>
            <w:tr w14:paraId="2C0D0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4" w:space="0"/>
                    <w:right w:val="single" w:color="auto" w:sz="4" w:space="0"/>
                  </w:tcBorders>
                  <w:vAlign w:val="center"/>
                </w:tcPr>
                <w:p w14:paraId="241E5E8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10</w:t>
                  </w:r>
                </w:p>
              </w:tc>
              <w:tc>
                <w:tcPr>
                  <w:tcW w:w="2318" w:type="dxa"/>
                  <w:tcBorders>
                    <w:top w:val="single" w:color="auto" w:sz="4" w:space="0"/>
                    <w:left w:val="single" w:color="auto" w:sz="4" w:space="0"/>
                    <w:bottom w:val="single" w:color="auto" w:sz="4" w:space="0"/>
                    <w:right w:val="single" w:color="auto" w:sz="4" w:space="0"/>
                  </w:tcBorders>
                  <w:vAlign w:val="center"/>
                </w:tcPr>
                <w:p w14:paraId="2A071DB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应急培训计划</w:t>
                  </w:r>
                </w:p>
              </w:tc>
              <w:tc>
                <w:tcPr>
                  <w:tcW w:w="6094" w:type="dxa"/>
                  <w:tcBorders>
                    <w:top w:val="single" w:color="auto" w:sz="4" w:space="0"/>
                    <w:left w:val="single" w:color="auto" w:sz="4" w:space="0"/>
                    <w:bottom w:val="single" w:color="auto" w:sz="4" w:space="0"/>
                  </w:tcBorders>
                  <w:vAlign w:val="center"/>
                </w:tcPr>
                <w:p w14:paraId="28FAE76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应急计划制定后，平时安排人员培训与演练</w:t>
                  </w:r>
                </w:p>
              </w:tc>
            </w:tr>
            <w:tr w14:paraId="5DB126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9" w:type="dxa"/>
                  <w:tcBorders>
                    <w:top w:val="single" w:color="auto" w:sz="4" w:space="0"/>
                    <w:bottom w:val="single" w:color="auto" w:sz="12" w:space="0"/>
                    <w:right w:val="single" w:color="auto" w:sz="4" w:space="0"/>
                  </w:tcBorders>
                  <w:vAlign w:val="center"/>
                </w:tcPr>
                <w:p w14:paraId="42B0C79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11</w:t>
                  </w:r>
                </w:p>
              </w:tc>
              <w:tc>
                <w:tcPr>
                  <w:tcW w:w="2318" w:type="dxa"/>
                  <w:tcBorders>
                    <w:top w:val="single" w:color="auto" w:sz="4" w:space="0"/>
                    <w:left w:val="single" w:color="auto" w:sz="4" w:space="0"/>
                    <w:bottom w:val="single" w:color="auto" w:sz="12" w:space="0"/>
                    <w:right w:val="single" w:color="auto" w:sz="4" w:space="0"/>
                  </w:tcBorders>
                  <w:vAlign w:val="center"/>
                </w:tcPr>
                <w:p w14:paraId="265B9A2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公众教育和信息</w:t>
                  </w:r>
                </w:p>
              </w:tc>
              <w:tc>
                <w:tcPr>
                  <w:tcW w:w="6094" w:type="dxa"/>
                  <w:tcBorders>
                    <w:top w:val="single" w:color="auto" w:sz="4" w:space="0"/>
                    <w:left w:val="single" w:color="auto" w:sz="4" w:space="0"/>
                    <w:bottom w:val="single" w:color="auto" w:sz="12" w:space="0"/>
                  </w:tcBorders>
                  <w:vAlign w:val="center"/>
                </w:tcPr>
                <w:p w14:paraId="64AFDE6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对项目区邻近地区开展公众教育、培训和发布有关信息</w:t>
                  </w:r>
                </w:p>
              </w:tc>
            </w:tr>
          </w:tbl>
          <w:p w14:paraId="31425E4D">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 xml:space="preserve">6.6 </w:t>
            </w:r>
            <w:r>
              <w:rPr>
                <w:rFonts w:hint="default" w:ascii="Times New Roman" w:hAnsi="Times New Roman" w:eastAsia="宋体" w:cs="Times New Roman"/>
                <w:b/>
                <w:bCs/>
                <w:color w:val="auto"/>
                <w:sz w:val="24"/>
                <w:szCs w:val="24"/>
                <w:highlight w:val="none"/>
              </w:rPr>
              <w:t>风险评价结论</w:t>
            </w:r>
          </w:p>
          <w:p w14:paraId="693E0BD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本项目风险潜势为I，进行简单分析，具体如下表。</w:t>
            </w:r>
          </w:p>
          <w:p w14:paraId="23D48D23">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center"/>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w:t>
            </w:r>
            <w:r>
              <w:rPr>
                <w:rFonts w:hint="eastAsia" w:ascii="Times New Roman" w:hAnsi="Times New Roman" w:cs="Times New Roman"/>
                <w:b/>
                <w:bCs/>
                <w:color w:val="auto"/>
                <w:highlight w:val="none"/>
                <w:lang w:val="en-US" w:eastAsia="zh-CN"/>
              </w:rPr>
              <w:t>19</w:t>
            </w:r>
            <w:r>
              <w:rPr>
                <w:rFonts w:hint="default" w:ascii="Times New Roman" w:hAnsi="Times New Roman" w:cs="Times New Roman"/>
                <w:b/>
                <w:bCs/>
                <w:color w:val="auto"/>
                <w:highlight w:val="none"/>
                <w:lang w:val="en-US" w:eastAsia="zh-CN"/>
              </w:rPr>
              <w:t xml:space="preserve">   建设项目环境风险简单分析内容表</w:t>
            </w:r>
          </w:p>
          <w:tbl>
            <w:tblPr>
              <w:tblStyle w:val="19"/>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5864"/>
            </w:tblGrid>
            <w:tr w14:paraId="68F3F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bottom w:val="single" w:color="auto" w:sz="12" w:space="0"/>
                  </w:tcBorders>
                  <w:noWrap w:val="0"/>
                  <w:vAlign w:val="center"/>
                </w:tcPr>
                <w:p w14:paraId="7C3DBA78">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建设项目名称</w:t>
                  </w:r>
                </w:p>
              </w:tc>
              <w:tc>
                <w:tcPr>
                  <w:tcW w:w="5864" w:type="dxa"/>
                  <w:tcBorders>
                    <w:bottom w:val="single" w:color="auto" w:sz="12" w:space="0"/>
                  </w:tcBorders>
                  <w:noWrap w:val="0"/>
                  <w:vAlign w:val="center"/>
                </w:tcPr>
                <w:p w14:paraId="28C178DC">
                  <w:pPr>
                    <w:pStyle w:val="35"/>
                    <w:bidi w:val="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第七师129团玉米烘干厂建设项目</w:t>
                  </w:r>
                </w:p>
              </w:tc>
            </w:tr>
            <w:tr w14:paraId="14A969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12" w:space="0"/>
                  </w:tcBorders>
                  <w:noWrap w:val="0"/>
                  <w:vAlign w:val="center"/>
                </w:tcPr>
                <w:p w14:paraId="5B6D6C3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建设地点</w:t>
                  </w:r>
                </w:p>
              </w:tc>
              <w:tc>
                <w:tcPr>
                  <w:tcW w:w="5864" w:type="dxa"/>
                  <w:tcBorders>
                    <w:top w:val="single" w:color="auto" w:sz="12" w:space="0"/>
                  </w:tcBorders>
                  <w:noWrap w:val="0"/>
                  <w:vAlign w:val="center"/>
                </w:tcPr>
                <w:p w14:paraId="194758BC">
                  <w:pPr>
                    <w:pStyle w:val="35"/>
                    <w:bidi w:val="0"/>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第七师胡杨河市129团奎车公路以北、东羊场以东</w:t>
                  </w:r>
                </w:p>
              </w:tc>
            </w:tr>
            <w:tr w14:paraId="22D45C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noWrap w:val="0"/>
                  <w:vAlign w:val="center"/>
                </w:tcPr>
                <w:p w14:paraId="773EB80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地理坐标</w:t>
                  </w:r>
                </w:p>
              </w:tc>
              <w:tc>
                <w:tcPr>
                  <w:tcW w:w="5864" w:type="dxa"/>
                  <w:noWrap w:val="0"/>
                  <w:vAlign w:val="center"/>
                </w:tcPr>
                <w:p w14:paraId="1C58F359">
                  <w:pPr>
                    <w:pStyle w:val="35"/>
                    <w:bidi w:val="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E84°49′10.094″</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N44°52′20.660″</w:t>
                  </w:r>
                </w:p>
              </w:tc>
            </w:tr>
            <w:tr w14:paraId="402B42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noWrap w:val="0"/>
                  <w:vAlign w:val="center"/>
                </w:tcPr>
                <w:p w14:paraId="542E42C0">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主要危险物质及分布</w:t>
                  </w:r>
                </w:p>
              </w:tc>
              <w:tc>
                <w:tcPr>
                  <w:tcW w:w="5864" w:type="dxa"/>
                  <w:noWrap w:val="0"/>
                  <w:vAlign w:val="center"/>
                </w:tcPr>
                <w:p w14:paraId="6FD7CB20">
                  <w:pPr>
                    <w:pStyle w:val="35"/>
                    <w:bidi w:val="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废机油，储存在危险废物暂存间</w:t>
                  </w:r>
                </w:p>
              </w:tc>
            </w:tr>
            <w:tr w14:paraId="42CA1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noWrap w:val="0"/>
                  <w:vAlign w:val="center"/>
                </w:tcPr>
                <w:p w14:paraId="7EC93524">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环境影响途径及危害后果（大气、地表水、地下水）</w:t>
                  </w:r>
                </w:p>
              </w:tc>
              <w:tc>
                <w:tcPr>
                  <w:tcW w:w="5864" w:type="dxa"/>
                  <w:noWrap w:val="0"/>
                  <w:vAlign w:val="center"/>
                </w:tcPr>
                <w:p w14:paraId="739EF07A">
                  <w:pPr>
                    <w:pStyle w:val="35"/>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生物质燃烧</w:t>
                  </w:r>
                  <w:r>
                    <w:rPr>
                      <w:rFonts w:hint="default" w:ascii="Times New Roman" w:hAnsi="Times New Roman" w:cs="Times New Roman"/>
                      <w:b w:val="0"/>
                      <w:bCs w:val="0"/>
                      <w:color w:val="auto"/>
                      <w:sz w:val="21"/>
                      <w:szCs w:val="21"/>
                      <w:highlight w:val="none"/>
                    </w:rPr>
                    <w:t>废气超标排放</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火灾事故此生危害污染大气，消防废水处置不合理污染地下水，废机油泄漏污染土壤和地下水</w:t>
                  </w:r>
                </w:p>
              </w:tc>
            </w:tr>
            <w:tr w14:paraId="4C818A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noWrap w:val="0"/>
                  <w:vAlign w:val="center"/>
                </w:tcPr>
                <w:p w14:paraId="69940739">
                  <w:pPr>
                    <w:pStyle w:val="35"/>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风险防范措施要求</w:t>
                  </w:r>
                </w:p>
              </w:tc>
              <w:tc>
                <w:tcPr>
                  <w:tcW w:w="5864" w:type="dxa"/>
                  <w:noWrap w:val="0"/>
                  <w:vAlign w:val="center"/>
                </w:tcPr>
                <w:p w14:paraId="696105FF">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（1）该项目客观上存在着一定的不安全因素，对周围环境存在着潜在的威胁。发生环境安全事故后，对周围环境有严重的损害，所以在贯彻</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安全第一，预防为主</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的方针同时，应树立环境风险意识，强化环境风险责任，体现出环境保护的内容。</w:t>
                  </w:r>
                </w:p>
                <w:p w14:paraId="28EF5206">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（2）建立严格的环境管理制度及操作规程，严格培训操作人员，严格遵守各项规章制度。</w:t>
                  </w:r>
                </w:p>
                <w:p w14:paraId="27F72E54">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（3）确保各项环保治理措施切实可行，并保证治理设施正常运行，且做到达标排放。</w:t>
                  </w:r>
                </w:p>
                <w:p w14:paraId="7C50C5D6">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（4）定期检查和维修环保治理设施，及时发现问题及时解决，使事故发生率降至最低。</w:t>
                  </w:r>
                </w:p>
              </w:tc>
            </w:tr>
            <w:tr w14:paraId="36B14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20" w:type="dxa"/>
                  <w:gridSpan w:val="2"/>
                  <w:noWrap w:val="0"/>
                  <w:vAlign w:val="center"/>
                </w:tcPr>
                <w:p w14:paraId="6FC72950">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填表说明：</w:t>
                  </w:r>
                </w:p>
                <w:p w14:paraId="69AF807C">
                  <w:pPr>
                    <w:pStyle w:val="35"/>
                    <w:bidi w:val="0"/>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根据本项目污染物特性，本项目应建立独立的环境风险应急预案，并报备地环境主管部门备案。</w:t>
                  </w:r>
                </w:p>
              </w:tc>
            </w:tr>
          </w:tbl>
          <w:p w14:paraId="4B76FD87">
            <w:pPr>
              <w:keepNext w:val="0"/>
              <w:keepLines w:val="0"/>
              <w:suppressLineNumbers w:val="0"/>
              <w:spacing w:before="0" w:beforeAutospacing="0" w:after="0" w:afterAutospacing="0" w:line="360" w:lineRule="auto"/>
              <w:ind w:right="0"/>
              <w:rPr>
                <w:rFonts w:hint="default" w:ascii="Times New Roman" w:hAnsi="Times New Roman" w:cs="Times New Roman"/>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 xml:space="preserve">6.6.1 </w:t>
            </w:r>
            <w:r>
              <w:rPr>
                <w:rFonts w:hint="default" w:ascii="Times New Roman" w:hAnsi="Times New Roman" w:cs="Times New Roman"/>
                <w:b/>
                <w:bCs/>
                <w:color w:val="auto"/>
                <w:sz w:val="24"/>
                <w:szCs w:val="24"/>
                <w:highlight w:val="none"/>
                <w:lang w:eastAsia="zh-CN"/>
              </w:rPr>
              <w:t>事故性排放风险评价结论</w:t>
            </w:r>
          </w:p>
          <w:p w14:paraId="7F4C2D9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脱硫塔设备、除尘器长期疏于管理的情况下，会出现故障，采取定期检修，加强管理，风险是可接受的。</w:t>
            </w:r>
          </w:p>
          <w:p w14:paraId="6183BFF1">
            <w:pPr>
              <w:keepNext w:val="0"/>
              <w:keepLines w:val="0"/>
              <w:suppressLineNumbers w:val="0"/>
              <w:spacing w:before="0" w:beforeAutospacing="0" w:after="0" w:afterAutospacing="0" w:line="360" w:lineRule="auto"/>
              <w:ind w:right="0"/>
              <w:rPr>
                <w:rFonts w:hint="default"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6.6.2 火灾</w:t>
            </w:r>
            <w:r>
              <w:rPr>
                <w:rFonts w:hint="default" w:ascii="Times New Roman" w:hAnsi="Times New Roman" w:cs="Times New Roman"/>
                <w:b/>
                <w:bCs/>
                <w:color w:val="auto"/>
                <w:sz w:val="24"/>
                <w:szCs w:val="24"/>
                <w:highlight w:val="none"/>
                <w:lang w:eastAsia="zh-CN"/>
              </w:rPr>
              <w:t>事故风险评价结论</w:t>
            </w:r>
          </w:p>
          <w:p w14:paraId="6AA2AB7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火灾的发生完全是可以避免的，项目建设初期配套完善各类消防设施，运营过程加强管理和巡检</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将火灾的发生控制在发生前和初期阶段，造成的环境风险是可控的。故认为该项目火灾环境风险是可接受的。</w:t>
            </w:r>
          </w:p>
          <w:p w14:paraId="5AB4DD6C">
            <w:pPr>
              <w:bidi w:val="0"/>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7、运营期</w:t>
            </w:r>
            <w:r>
              <w:rPr>
                <w:rFonts w:hint="default" w:ascii="Times New Roman" w:hAnsi="Times New Roman" w:cs="Times New Roman"/>
                <w:b/>
                <w:color w:val="auto"/>
                <w:sz w:val="24"/>
                <w:szCs w:val="24"/>
                <w:highlight w:val="none"/>
                <w:lang w:val="en-US" w:eastAsia="zh-CN"/>
              </w:rPr>
              <w:t>生态</w:t>
            </w:r>
            <w:r>
              <w:rPr>
                <w:rFonts w:hint="default" w:ascii="Times New Roman" w:hAnsi="Times New Roman" w:cs="Times New Roman"/>
                <w:b/>
                <w:color w:val="auto"/>
                <w:sz w:val="24"/>
                <w:szCs w:val="24"/>
                <w:highlight w:val="none"/>
              </w:rPr>
              <w:t>环境影响和保护措施</w:t>
            </w:r>
          </w:p>
          <w:p w14:paraId="7AD16B5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本项目用地范围内无生态环境保护目标，无需开展生态环境影响评价</w:t>
            </w:r>
            <w:r>
              <w:rPr>
                <w:rFonts w:hint="default" w:ascii="Times New Roman" w:hAnsi="Times New Roman" w:cs="Times New Roman"/>
                <w:color w:val="auto"/>
                <w:sz w:val="24"/>
                <w:szCs w:val="24"/>
                <w:highlight w:val="none"/>
                <w:lang w:eastAsia="zh-CN"/>
              </w:rPr>
              <w:t>。</w:t>
            </w:r>
          </w:p>
          <w:p w14:paraId="36B0D85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为了进一步降低项目噪声、颗粒物对西侧居民区的影响，环评建议在项目区西侧及南侧种植宽度为5m的绿化带，树种应选用本地常见的阔叶树种为主，例如白桦树、欧洲山杨等。</w:t>
            </w:r>
          </w:p>
          <w:p w14:paraId="518EDFB7">
            <w:pPr>
              <w:rPr>
                <w:rFonts w:hint="default" w:ascii="Times New Roman" w:hAnsi="Times New Roman" w:cs="Times New Roman"/>
                <w:color w:val="auto"/>
                <w:highlight w:val="none"/>
                <w:lang w:val="en-US" w:eastAsia="zh-CN"/>
              </w:rPr>
            </w:pPr>
          </w:p>
          <w:p w14:paraId="4CEBBA04">
            <w:pPr>
              <w:rPr>
                <w:rFonts w:hint="default" w:ascii="Times New Roman" w:hAnsi="Times New Roman" w:cs="Times New Roman"/>
                <w:color w:val="auto"/>
                <w:highlight w:val="none"/>
                <w:lang w:val="en-US" w:eastAsia="zh-CN"/>
              </w:rPr>
            </w:pPr>
          </w:p>
          <w:p w14:paraId="0044924B">
            <w:pPr>
              <w:rPr>
                <w:rFonts w:hint="default" w:ascii="Times New Roman" w:hAnsi="Times New Roman" w:cs="Times New Roman"/>
                <w:color w:val="auto"/>
                <w:highlight w:val="none"/>
                <w:lang w:val="en-US" w:eastAsia="zh-CN"/>
              </w:rPr>
            </w:pPr>
          </w:p>
        </w:tc>
      </w:tr>
    </w:tbl>
    <w:p w14:paraId="3FFA2731">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E4DB93C">
      <w:pPr>
        <w:pStyle w:val="18"/>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119" w:name="_Hlk54167917"/>
      <w:r>
        <w:rPr>
          <w:rFonts w:hint="default" w:ascii="Times New Roman" w:hAnsi="Times New Roman" w:eastAsia="黑体" w:cs="Times New Roman"/>
          <w:snapToGrid w:val="0"/>
          <w:color w:val="auto"/>
          <w:sz w:val="30"/>
          <w:szCs w:val="30"/>
          <w:highlight w:val="none"/>
        </w:rPr>
        <w:t>环境保护措施监督检查清单</w:t>
      </w:r>
      <w:bookmarkEnd w:id="119"/>
    </w:p>
    <w:tbl>
      <w:tblPr>
        <w:tblStyle w:val="19"/>
        <w:tblW w:w="90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80"/>
        <w:gridCol w:w="1530"/>
        <w:gridCol w:w="2515"/>
        <w:gridCol w:w="2132"/>
      </w:tblGrid>
      <w:tr w14:paraId="13168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60" w:type="dxa"/>
            <w:tcBorders>
              <w:tl2br w:val="nil"/>
              <w:tr2bl w:val="nil"/>
            </w:tcBorders>
            <w:noWrap w:val="0"/>
            <w:vAlign w:val="top"/>
            <mc:AlternateContent>
              <mc:Choice Requires="wpsCustomData">
                <wpsCustomData:diagonals>
                  <wpsCustomData:diagonal from="10000" to="30000">
                    <wpsCustomData:border w:val="single" w:color="auto" w:sz="12" w:space="0"/>
                  </wpsCustomData:diagonal>
                </wpsCustomData:diagonals>
              </mc:Choice>
            </mc:AlternateContent>
          </w:tcPr>
          <w:p w14:paraId="54AA5265">
            <w:pPr>
              <w:pStyle w:val="47"/>
              <w:bidi w:val="0"/>
              <w:snapToGrid w:val="0"/>
              <w:jc w:val="left"/>
              <mc:AlternateContent>
                <mc:Choice Requires="wpsCustomData">
                  <wpsCustomData:diagonalParaType/>
                </mc:Choice>
              </mc:AlternateConten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要素</w:t>
            </w:r>
          </w:p>
          <w:p w14:paraId="4B573782">
            <w:pPr>
              <w:pStyle w:val="47"/>
              <w:bidi w:val="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内容</w:t>
            </w:r>
          </w:p>
          <w:p w14:paraId="338CDB52">
            <w:pPr>
              <w:pStyle w:val="47"/>
              <w:bidi w:val="0"/>
              <w:jc w:val="left"/>
              <w:rPr>
                <w:rFonts w:hint="default" w:ascii="Times New Roman" w:hAnsi="Times New Roman" w:cs="Times New Roman"/>
                <w:color w:val="auto"/>
                <w:sz w:val="21"/>
                <w:szCs w:val="21"/>
                <w:highlight w:val="none"/>
              </w:rPr>
            </w:pPr>
          </w:p>
        </w:tc>
        <w:tc>
          <w:tcPr>
            <w:tcW w:w="1680" w:type="dxa"/>
            <w:tcBorders>
              <w:tl2br w:val="nil"/>
              <w:tr2bl w:val="nil"/>
            </w:tcBorders>
            <w:noWrap w:val="0"/>
            <w:vAlign w:val="center"/>
          </w:tcPr>
          <w:p w14:paraId="4A4B9530">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排放口</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编号、</w:t>
            </w:r>
          </w:p>
          <w:p w14:paraId="137AE942">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/污染源</w:t>
            </w:r>
          </w:p>
        </w:tc>
        <w:tc>
          <w:tcPr>
            <w:tcW w:w="1530" w:type="dxa"/>
            <w:tcBorders>
              <w:tl2br w:val="nil"/>
              <w:tr2bl w:val="nil"/>
            </w:tcBorders>
            <w:noWrap w:val="0"/>
            <w:vAlign w:val="center"/>
          </w:tcPr>
          <w:p w14:paraId="37CF2B11">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污染物项目</w:t>
            </w:r>
          </w:p>
        </w:tc>
        <w:tc>
          <w:tcPr>
            <w:tcW w:w="2515" w:type="dxa"/>
            <w:tcBorders>
              <w:tl2br w:val="nil"/>
              <w:tr2bl w:val="nil"/>
            </w:tcBorders>
            <w:noWrap w:val="0"/>
            <w:vAlign w:val="center"/>
          </w:tcPr>
          <w:p w14:paraId="0B1C62A4">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环境保护措施</w:t>
            </w:r>
          </w:p>
        </w:tc>
        <w:tc>
          <w:tcPr>
            <w:tcW w:w="2132" w:type="dxa"/>
            <w:tcBorders>
              <w:tl2br w:val="nil"/>
              <w:tr2bl w:val="nil"/>
            </w:tcBorders>
            <w:noWrap w:val="0"/>
            <w:vAlign w:val="center"/>
          </w:tcPr>
          <w:p w14:paraId="68D6AD6D">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14:paraId="6EBC6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vMerge w:val="restart"/>
            <w:tcBorders>
              <w:tl2br w:val="nil"/>
              <w:tr2bl w:val="nil"/>
            </w:tcBorders>
            <w:noWrap w:val="0"/>
            <w:vAlign w:val="center"/>
          </w:tcPr>
          <w:p w14:paraId="56FDF4E0">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w:t>
            </w:r>
          </w:p>
        </w:tc>
        <w:tc>
          <w:tcPr>
            <w:tcW w:w="1680" w:type="dxa"/>
            <w:tcBorders>
              <w:tl2br w:val="nil"/>
              <w:tr2bl w:val="nil"/>
            </w:tcBorders>
            <w:noWrap w:val="0"/>
            <w:vAlign w:val="center"/>
          </w:tcPr>
          <w:p w14:paraId="02EE18D1">
            <w:pPr>
              <w:pStyle w:val="47"/>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eastAsia="zh-CN"/>
              </w:rPr>
              <w:t>生物质热风炉</w:t>
            </w:r>
            <w:r>
              <w:rPr>
                <w:rFonts w:hint="default" w:ascii="Times New Roman" w:hAnsi="Times New Roman" w:cs="Times New Roman"/>
                <w:color w:val="auto"/>
                <w:kern w:val="0"/>
                <w:sz w:val="21"/>
                <w:szCs w:val="21"/>
                <w:highlight w:val="none"/>
                <w:lang w:val="en-US" w:eastAsia="zh-CN"/>
              </w:rPr>
              <w:t>排气筒（DA001）/烘干炉燃烧烟气</w:t>
            </w:r>
          </w:p>
        </w:tc>
        <w:tc>
          <w:tcPr>
            <w:tcW w:w="1530" w:type="dxa"/>
            <w:tcBorders>
              <w:tl2br w:val="nil"/>
              <w:tr2bl w:val="nil"/>
            </w:tcBorders>
            <w:noWrap w:val="0"/>
            <w:vAlign w:val="center"/>
          </w:tcPr>
          <w:p w14:paraId="0F14EB53">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烟尘、二氧化硫、氮氧化物</w:t>
            </w:r>
          </w:p>
        </w:tc>
        <w:tc>
          <w:tcPr>
            <w:tcW w:w="2515" w:type="dxa"/>
            <w:tcBorders>
              <w:tl2br w:val="nil"/>
              <w:tr2bl w:val="nil"/>
            </w:tcBorders>
            <w:noWrap w:val="0"/>
            <w:vAlign w:val="center"/>
          </w:tcPr>
          <w:p w14:paraId="43F8C069">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w:t>
            </w:r>
            <w:r>
              <w:rPr>
                <w:rFonts w:hint="default" w:ascii="Times New Roman" w:hAnsi="Times New Roman" w:cs="Times New Roman"/>
                <w:color w:val="auto"/>
                <w:sz w:val="21"/>
                <w:szCs w:val="21"/>
                <w:highlight w:val="none"/>
                <w:lang w:val="en-US" w:eastAsia="zh-CN"/>
              </w:rPr>
              <w:t>一套</w:t>
            </w:r>
            <w:r>
              <w:rPr>
                <w:rFonts w:hint="eastAsia" w:cs="Times New Roman"/>
                <w:color w:val="auto"/>
                <w:sz w:val="21"/>
                <w:szCs w:val="21"/>
                <w:highlight w:val="none"/>
                <w:lang w:val="en-US" w:eastAsia="zh-CN"/>
              </w:rPr>
              <w:t>低氮燃烧技术+陶瓷多管除尘+布袋除尘+双碱法脱硫</w:t>
            </w:r>
            <w:r>
              <w:rPr>
                <w:rFonts w:hint="default" w:ascii="Times New Roman" w:hAnsi="Times New Roman" w:cs="Times New Roman"/>
                <w:color w:val="auto"/>
                <w:sz w:val="21"/>
                <w:szCs w:val="21"/>
                <w:highlight w:val="none"/>
              </w:rPr>
              <w:t>净化后通过</w:t>
            </w:r>
            <w:r>
              <w:rPr>
                <w:rFonts w:hint="eastAsia" w:cs="Times New Roman"/>
                <w:color w:val="auto"/>
                <w:sz w:val="21"/>
                <w:szCs w:val="21"/>
                <w:highlight w:val="none"/>
                <w:lang w:val="en-US" w:eastAsia="zh-CN"/>
              </w:rPr>
              <w:t>15</w:t>
            </w:r>
            <w:r>
              <w:rPr>
                <w:rFonts w:hint="default" w:ascii="Times New Roman" w:hAnsi="Times New Roman" w:cs="Times New Roman"/>
                <w:color w:val="auto"/>
                <w:sz w:val="21"/>
                <w:szCs w:val="21"/>
                <w:highlight w:val="none"/>
              </w:rPr>
              <w:t>m高排气筒外排</w:t>
            </w:r>
          </w:p>
        </w:tc>
        <w:tc>
          <w:tcPr>
            <w:tcW w:w="2132" w:type="dxa"/>
            <w:tcBorders>
              <w:tl2br w:val="nil"/>
              <w:tr2bl w:val="nil"/>
            </w:tcBorders>
            <w:noWrap w:val="0"/>
            <w:vAlign w:val="center"/>
          </w:tcPr>
          <w:p w14:paraId="49591121">
            <w:pPr>
              <w:pStyle w:val="47"/>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《锅炉大气污染物排放标准》（GB13271-2014）</w:t>
            </w:r>
            <w:r>
              <w:rPr>
                <w:rFonts w:hint="default" w:ascii="Times New Roman" w:hAnsi="Times New Roman" w:cs="Times New Roman"/>
                <w:color w:val="auto"/>
                <w:sz w:val="21"/>
                <w:szCs w:val="21"/>
                <w:highlight w:val="none"/>
                <w:lang w:val="en-US" w:eastAsia="zh-CN"/>
              </w:rPr>
              <w:t>表</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燃气锅炉</w:t>
            </w:r>
            <w:r>
              <w:rPr>
                <w:rFonts w:hint="eastAsia" w:cs="Times New Roman"/>
                <w:color w:val="auto"/>
                <w:sz w:val="21"/>
                <w:szCs w:val="21"/>
                <w:highlight w:val="none"/>
                <w:lang w:val="en-US" w:eastAsia="zh-CN"/>
              </w:rPr>
              <w:t>特别</w:t>
            </w:r>
            <w:r>
              <w:rPr>
                <w:rFonts w:hint="default" w:ascii="Times New Roman" w:hAnsi="Times New Roman" w:cs="Times New Roman"/>
                <w:color w:val="auto"/>
                <w:sz w:val="21"/>
                <w:szCs w:val="21"/>
                <w:highlight w:val="none"/>
                <w:lang w:val="en-US" w:eastAsia="zh-CN"/>
              </w:rPr>
              <w:t>排放限值</w:t>
            </w:r>
          </w:p>
        </w:tc>
      </w:tr>
      <w:tr w14:paraId="57DA2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vMerge w:val="continue"/>
            <w:tcBorders>
              <w:tl2br w:val="nil"/>
              <w:tr2bl w:val="nil"/>
            </w:tcBorders>
            <w:noWrap w:val="0"/>
            <w:vAlign w:val="center"/>
          </w:tcPr>
          <w:p w14:paraId="0BB2325C">
            <w:pPr>
              <w:pStyle w:val="47"/>
              <w:bidi w:val="0"/>
              <w:rPr>
                <w:rFonts w:hint="default" w:ascii="Times New Roman" w:hAnsi="Times New Roman" w:cs="Times New Roman"/>
                <w:color w:val="auto"/>
                <w:sz w:val="21"/>
                <w:szCs w:val="21"/>
                <w:highlight w:val="none"/>
              </w:rPr>
            </w:pPr>
          </w:p>
        </w:tc>
        <w:tc>
          <w:tcPr>
            <w:tcW w:w="1680" w:type="dxa"/>
            <w:tcBorders>
              <w:tl2br w:val="nil"/>
              <w:tr2bl w:val="nil"/>
            </w:tcBorders>
            <w:shd w:val="clear" w:color="auto" w:fill="auto"/>
            <w:noWrap w:val="0"/>
            <w:vAlign w:val="center"/>
          </w:tcPr>
          <w:p w14:paraId="056D7921">
            <w:pPr>
              <w:pStyle w:val="47"/>
              <w:bidi w:val="0"/>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eastAsia="zh-CN"/>
              </w:rPr>
              <w:t>生物质热风炉</w:t>
            </w:r>
            <w:r>
              <w:rPr>
                <w:rFonts w:hint="default" w:ascii="Times New Roman" w:hAnsi="Times New Roman" w:cs="Times New Roman"/>
                <w:color w:val="auto"/>
                <w:kern w:val="0"/>
                <w:sz w:val="21"/>
                <w:szCs w:val="21"/>
                <w:highlight w:val="none"/>
                <w:lang w:val="en-US" w:eastAsia="zh-CN"/>
              </w:rPr>
              <w:t>排气筒（DA002）/烘干炉燃烧烟气</w:t>
            </w:r>
          </w:p>
        </w:tc>
        <w:tc>
          <w:tcPr>
            <w:tcW w:w="1530" w:type="dxa"/>
            <w:tcBorders>
              <w:tl2br w:val="nil"/>
              <w:tr2bl w:val="nil"/>
            </w:tcBorders>
            <w:shd w:val="clear" w:color="auto" w:fill="auto"/>
            <w:noWrap w:val="0"/>
            <w:vAlign w:val="center"/>
          </w:tcPr>
          <w:p w14:paraId="25FC7935">
            <w:pPr>
              <w:pStyle w:val="47"/>
              <w:bidi w:val="0"/>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烟尘、二氧化硫、氮氧化物</w:t>
            </w:r>
          </w:p>
        </w:tc>
        <w:tc>
          <w:tcPr>
            <w:tcW w:w="2515" w:type="dxa"/>
            <w:tcBorders>
              <w:tl2br w:val="nil"/>
              <w:tr2bl w:val="nil"/>
            </w:tcBorders>
            <w:shd w:val="clear" w:color="auto" w:fill="auto"/>
            <w:noWrap w:val="0"/>
            <w:vAlign w:val="center"/>
          </w:tcPr>
          <w:p w14:paraId="3482FB1F">
            <w:pPr>
              <w:pStyle w:val="47"/>
              <w:bidi w:val="0"/>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通过</w:t>
            </w:r>
            <w:r>
              <w:rPr>
                <w:rFonts w:hint="default" w:ascii="Times New Roman" w:hAnsi="Times New Roman" w:cs="Times New Roman"/>
                <w:color w:val="auto"/>
                <w:sz w:val="21"/>
                <w:szCs w:val="21"/>
                <w:highlight w:val="none"/>
                <w:lang w:val="en-US" w:eastAsia="zh-CN"/>
              </w:rPr>
              <w:t>一套</w:t>
            </w:r>
            <w:r>
              <w:rPr>
                <w:rFonts w:hint="eastAsia" w:cs="Times New Roman"/>
                <w:color w:val="auto"/>
                <w:sz w:val="21"/>
                <w:szCs w:val="21"/>
                <w:highlight w:val="none"/>
                <w:lang w:val="en-US" w:eastAsia="zh-CN"/>
              </w:rPr>
              <w:t>低氮燃烧技术+陶瓷多管除尘+布袋除尘+双碱法脱硫</w:t>
            </w:r>
            <w:r>
              <w:rPr>
                <w:rFonts w:hint="default" w:ascii="Times New Roman" w:hAnsi="Times New Roman" w:cs="Times New Roman"/>
                <w:color w:val="auto"/>
                <w:sz w:val="21"/>
                <w:szCs w:val="21"/>
                <w:highlight w:val="none"/>
              </w:rPr>
              <w:t>净化后通过</w:t>
            </w:r>
            <w:r>
              <w:rPr>
                <w:rFonts w:hint="eastAsia" w:cs="Times New Roman"/>
                <w:color w:val="auto"/>
                <w:sz w:val="21"/>
                <w:szCs w:val="21"/>
                <w:highlight w:val="none"/>
                <w:lang w:val="en-US" w:eastAsia="zh-CN"/>
              </w:rPr>
              <w:t>15</w:t>
            </w:r>
            <w:r>
              <w:rPr>
                <w:rFonts w:hint="default" w:ascii="Times New Roman" w:hAnsi="Times New Roman" w:cs="Times New Roman"/>
                <w:color w:val="auto"/>
                <w:sz w:val="21"/>
                <w:szCs w:val="21"/>
                <w:highlight w:val="none"/>
              </w:rPr>
              <w:t>m高排气筒外排</w:t>
            </w:r>
          </w:p>
        </w:tc>
        <w:tc>
          <w:tcPr>
            <w:tcW w:w="2132" w:type="dxa"/>
            <w:tcBorders>
              <w:tl2br w:val="nil"/>
              <w:tr2bl w:val="nil"/>
            </w:tcBorders>
            <w:shd w:val="clear" w:color="auto" w:fill="auto"/>
            <w:noWrap w:val="0"/>
            <w:vAlign w:val="center"/>
          </w:tcPr>
          <w:p w14:paraId="580BC916">
            <w:pPr>
              <w:pStyle w:val="47"/>
              <w:bidi w:val="0"/>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《锅炉大气污染物排放标准》（GB13271-2014）</w:t>
            </w:r>
            <w:r>
              <w:rPr>
                <w:rFonts w:hint="default" w:ascii="Times New Roman" w:hAnsi="Times New Roman" w:cs="Times New Roman"/>
                <w:color w:val="auto"/>
                <w:sz w:val="21"/>
                <w:szCs w:val="21"/>
                <w:highlight w:val="none"/>
                <w:lang w:val="en-US" w:eastAsia="zh-CN"/>
              </w:rPr>
              <w:t>表</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燃气锅炉</w:t>
            </w:r>
            <w:r>
              <w:rPr>
                <w:rFonts w:hint="eastAsia" w:cs="Times New Roman"/>
                <w:color w:val="auto"/>
                <w:sz w:val="21"/>
                <w:szCs w:val="21"/>
                <w:highlight w:val="none"/>
                <w:lang w:val="en-US" w:eastAsia="zh-CN"/>
              </w:rPr>
              <w:t>特别</w:t>
            </w:r>
            <w:r>
              <w:rPr>
                <w:rFonts w:hint="default" w:ascii="Times New Roman" w:hAnsi="Times New Roman" w:cs="Times New Roman"/>
                <w:color w:val="auto"/>
                <w:sz w:val="21"/>
                <w:szCs w:val="21"/>
                <w:highlight w:val="none"/>
                <w:lang w:val="en-US" w:eastAsia="zh-CN"/>
              </w:rPr>
              <w:t>排放限值</w:t>
            </w:r>
          </w:p>
        </w:tc>
      </w:tr>
      <w:tr w14:paraId="288F4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vMerge w:val="continue"/>
            <w:tcBorders>
              <w:tl2br w:val="nil"/>
              <w:tr2bl w:val="nil"/>
            </w:tcBorders>
            <w:noWrap w:val="0"/>
            <w:vAlign w:val="center"/>
          </w:tcPr>
          <w:p w14:paraId="5F357073">
            <w:pPr>
              <w:pStyle w:val="47"/>
              <w:bidi w:val="0"/>
              <w:rPr>
                <w:rFonts w:hint="default" w:ascii="Times New Roman" w:hAnsi="Times New Roman" w:cs="Times New Roman"/>
                <w:color w:val="auto"/>
                <w:sz w:val="21"/>
                <w:szCs w:val="21"/>
                <w:highlight w:val="none"/>
              </w:rPr>
            </w:pPr>
          </w:p>
        </w:tc>
        <w:tc>
          <w:tcPr>
            <w:tcW w:w="1680" w:type="dxa"/>
            <w:tcBorders>
              <w:tl2br w:val="nil"/>
              <w:tr2bl w:val="nil"/>
            </w:tcBorders>
            <w:noWrap w:val="0"/>
            <w:vAlign w:val="center"/>
          </w:tcPr>
          <w:p w14:paraId="5AE66349">
            <w:pPr>
              <w:pStyle w:val="47"/>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生产区无组织排放</w:t>
            </w:r>
          </w:p>
        </w:tc>
        <w:tc>
          <w:tcPr>
            <w:tcW w:w="1530" w:type="dxa"/>
            <w:tcBorders>
              <w:tl2br w:val="nil"/>
              <w:tr2bl w:val="nil"/>
            </w:tcBorders>
            <w:noWrap w:val="0"/>
            <w:vAlign w:val="center"/>
          </w:tcPr>
          <w:p w14:paraId="0482EEAE">
            <w:pPr>
              <w:pStyle w:val="47"/>
              <w:bidi w:val="0"/>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颗粒物</w:t>
            </w:r>
          </w:p>
        </w:tc>
        <w:tc>
          <w:tcPr>
            <w:tcW w:w="2515" w:type="dxa"/>
            <w:tcBorders>
              <w:tl2br w:val="nil"/>
              <w:tr2bl w:val="nil"/>
            </w:tcBorders>
            <w:noWrap w:val="0"/>
            <w:vAlign w:val="center"/>
          </w:tcPr>
          <w:p w14:paraId="605D2935">
            <w:pPr>
              <w:pStyle w:val="47"/>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卸粮口</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进料口处设置密闭罩</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输送环节设置</w:t>
            </w:r>
            <w:r>
              <w:rPr>
                <w:rFonts w:hint="default" w:ascii="Times New Roman" w:hAnsi="Times New Roman" w:cs="Times New Roman"/>
                <w:color w:val="auto"/>
                <w:sz w:val="21"/>
                <w:szCs w:val="21"/>
                <w:highlight w:val="none"/>
              </w:rPr>
              <w:t>密闭廊道</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密闭筛分；</w:t>
            </w:r>
            <w:r>
              <w:rPr>
                <w:rFonts w:hint="default" w:ascii="Times New Roman" w:hAnsi="Times New Roman" w:eastAsia="宋体" w:cs="Times New Roman"/>
                <w:color w:val="auto"/>
                <w:spacing w:val="12"/>
                <w:sz w:val="21"/>
                <w:szCs w:val="21"/>
                <w:highlight w:val="none"/>
                <w:lang w:val="en-US" w:eastAsia="zh-CN"/>
              </w:rPr>
              <w:t>烘干车间封闭作业，车间内加强通风，定期洒水清扫</w:t>
            </w:r>
            <w:r>
              <w:rPr>
                <w:rFonts w:hint="eastAsia" w:cs="Times New Roman"/>
                <w:color w:val="auto"/>
                <w:spacing w:val="12"/>
                <w:sz w:val="21"/>
                <w:szCs w:val="21"/>
                <w:highlight w:val="none"/>
                <w:lang w:val="en-US" w:eastAsia="zh-CN"/>
              </w:rPr>
              <w:t>；设置封闭燃料库房和灰渣库房；</w:t>
            </w:r>
            <w:r>
              <w:rPr>
                <w:rFonts w:hint="default" w:ascii="Times New Roman" w:hAnsi="Times New Roman" w:eastAsia="宋体" w:cs="Times New Roman"/>
                <w:color w:val="auto"/>
                <w:spacing w:val="12"/>
                <w:sz w:val="21"/>
                <w:szCs w:val="21"/>
                <w:highlight w:val="none"/>
                <w:lang w:val="en-US" w:eastAsia="zh-CN"/>
              </w:rPr>
              <w:t>无组织粉尘自然沉降</w:t>
            </w:r>
            <w:r>
              <w:rPr>
                <w:rFonts w:hint="eastAsia" w:cs="Times New Roman"/>
                <w:color w:val="auto"/>
                <w:spacing w:val="12"/>
                <w:sz w:val="21"/>
                <w:szCs w:val="21"/>
                <w:highlight w:val="none"/>
                <w:lang w:val="en-US" w:eastAsia="zh-CN"/>
              </w:rPr>
              <w:t>等措施</w:t>
            </w:r>
          </w:p>
        </w:tc>
        <w:tc>
          <w:tcPr>
            <w:tcW w:w="2132" w:type="dxa"/>
            <w:tcBorders>
              <w:tl2br w:val="nil"/>
              <w:tr2bl w:val="nil"/>
            </w:tcBorders>
            <w:noWrap w:val="0"/>
            <w:vAlign w:val="center"/>
          </w:tcPr>
          <w:p w14:paraId="2E75D52A">
            <w:pPr>
              <w:pStyle w:val="47"/>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《大气污染物综合排放标准》（GB16297-1996</w:t>
            </w:r>
            <w:r>
              <w:rPr>
                <w:rFonts w:hint="default" w:ascii="Times New Roman" w:hAnsi="Times New Roman" w:cs="Times New Roman"/>
                <w:color w:val="auto"/>
                <w:sz w:val="21"/>
                <w:szCs w:val="21"/>
                <w:highlight w:val="none"/>
                <w:lang w:eastAsia="zh-CN"/>
              </w:rPr>
              <w:t>）</w:t>
            </w:r>
          </w:p>
        </w:tc>
      </w:tr>
      <w:tr w14:paraId="6A15C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479C58E4">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地表水环境</w:t>
            </w:r>
          </w:p>
        </w:tc>
        <w:tc>
          <w:tcPr>
            <w:tcW w:w="1680" w:type="dxa"/>
            <w:tcBorders>
              <w:tl2br w:val="nil"/>
              <w:tr2bl w:val="nil"/>
            </w:tcBorders>
            <w:noWrap w:val="0"/>
            <w:vAlign w:val="center"/>
          </w:tcPr>
          <w:p w14:paraId="3F6A2C4D">
            <w:pPr>
              <w:pStyle w:val="47"/>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生活污水</w:t>
            </w:r>
          </w:p>
        </w:tc>
        <w:tc>
          <w:tcPr>
            <w:tcW w:w="1530" w:type="dxa"/>
            <w:tcBorders>
              <w:tl2br w:val="nil"/>
              <w:tr2bl w:val="nil"/>
            </w:tcBorders>
            <w:noWrap w:val="0"/>
            <w:vAlign w:val="center"/>
          </w:tcPr>
          <w:p w14:paraId="1F192B82">
            <w:pPr>
              <w:pStyle w:val="47"/>
              <w:bidi w:val="0"/>
              <w:rPr>
                <w:rFonts w:hint="default" w:ascii="Times New Roman" w:hAnsi="Times New Roman" w:cs="Times New Roman"/>
                <w:color w:val="auto"/>
                <w:sz w:val="21"/>
                <w:szCs w:val="21"/>
                <w:highlight w:val="none"/>
              </w:rPr>
            </w:pPr>
            <w:r>
              <w:rPr>
                <w:rFonts w:hint="default" w:ascii="Times New Roman" w:hAnsi="Times New Roman" w:eastAsia="宋体" w:cs="Times New Roman"/>
                <w:snapToGrid w:val="0"/>
                <w:color w:val="auto"/>
                <w:sz w:val="21"/>
                <w:szCs w:val="21"/>
                <w:highlight w:val="none"/>
                <w:lang w:val="en-US" w:eastAsia="zh-CN"/>
              </w:rPr>
              <w:t>COD、BOD</w:t>
            </w:r>
            <w:r>
              <w:rPr>
                <w:rFonts w:hint="default" w:ascii="Times New Roman" w:hAnsi="Times New Roman" w:eastAsia="宋体" w:cs="Times New Roman"/>
                <w:snapToGrid w:val="0"/>
                <w:color w:val="auto"/>
                <w:sz w:val="21"/>
                <w:szCs w:val="21"/>
                <w:highlight w:val="none"/>
                <w:vertAlign w:val="subscript"/>
                <w:lang w:val="en-US" w:eastAsia="zh-CN"/>
              </w:rPr>
              <w:t>5</w:t>
            </w:r>
            <w:r>
              <w:rPr>
                <w:rFonts w:hint="default" w:ascii="Times New Roman" w:hAnsi="Times New Roman" w:eastAsia="宋体" w:cs="Times New Roman"/>
                <w:snapToGrid w:val="0"/>
                <w:color w:val="auto"/>
                <w:sz w:val="21"/>
                <w:szCs w:val="21"/>
                <w:highlight w:val="none"/>
                <w:lang w:val="en-US" w:eastAsia="zh-CN"/>
              </w:rPr>
              <w:t>、SS、氨氮、动植物油</w:t>
            </w:r>
          </w:p>
        </w:tc>
        <w:tc>
          <w:tcPr>
            <w:tcW w:w="2515" w:type="dxa"/>
            <w:tcBorders>
              <w:tl2br w:val="nil"/>
              <w:tr2bl w:val="nil"/>
            </w:tcBorders>
            <w:noWrap w:val="0"/>
            <w:vAlign w:val="center"/>
          </w:tcPr>
          <w:p w14:paraId="283BF4B4">
            <w:pPr>
              <w:pStyle w:val="47"/>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pacing w:val="12"/>
                <w:sz w:val="21"/>
                <w:szCs w:val="21"/>
                <w:highlight w:val="none"/>
                <w:lang w:val="en-US" w:eastAsia="zh-CN"/>
              </w:rPr>
              <w:t>脱硫废水经沉淀后循环使用，不外排；</w:t>
            </w:r>
            <w:r>
              <w:rPr>
                <w:rFonts w:hint="default" w:ascii="Times New Roman" w:hAnsi="Times New Roman" w:cs="Times New Roman"/>
                <w:color w:val="auto"/>
                <w:spacing w:val="12"/>
                <w:sz w:val="21"/>
                <w:szCs w:val="21"/>
                <w:highlight w:val="none"/>
                <w:lang w:val="en-US" w:eastAsia="zh-CN"/>
              </w:rPr>
              <w:t>生活污水暂存于厂区防渗化粪池，委托当地吸污车定期拉运处理</w:t>
            </w:r>
          </w:p>
        </w:tc>
        <w:tc>
          <w:tcPr>
            <w:tcW w:w="2132" w:type="dxa"/>
            <w:tcBorders>
              <w:tl2br w:val="nil"/>
              <w:tr2bl w:val="nil"/>
            </w:tcBorders>
            <w:noWrap w:val="0"/>
            <w:vAlign w:val="center"/>
          </w:tcPr>
          <w:p w14:paraId="49A913E2">
            <w:pPr>
              <w:pStyle w:val="47"/>
              <w:bidi w:val="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《污水综合排放标准》（GB8978-1996）</w:t>
            </w:r>
          </w:p>
        </w:tc>
      </w:tr>
      <w:tr w14:paraId="664D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08BBFBD1">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1680" w:type="dxa"/>
            <w:tcBorders>
              <w:tl2br w:val="nil"/>
              <w:tr2bl w:val="nil"/>
            </w:tcBorders>
            <w:noWrap w:val="0"/>
            <w:vAlign w:val="center"/>
          </w:tcPr>
          <w:p w14:paraId="6DF48780">
            <w:pPr>
              <w:pStyle w:val="47"/>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生产车间各类生产机械</w:t>
            </w:r>
          </w:p>
        </w:tc>
        <w:tc>
          <w:tcPr>
            <w:tcW w:w="1530" w:type="dxa"/>
            <w:tcBorders>
              <w:tl2br w:val="nil"/>
              <w:tr2bl w:val="nil"/>
            </w:tcBorders>
            <w:noWrap w:val="0"/>
            <w:vAlign w:val="center"/>
          </w:tcPr>
          <w:p w14:paraId="27E38CC7">
            <w:pPr>
              <w:pStyle w:val="47"/>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噪声</w:t>
            </w:r>
          </w:p>
        </w:tc>
        <w:tc>
          <w:tcPr>
            <w:tcW w:w="2515" w:type="dxa"/>
            <w:tcBorders>
              <w:tl2br w:val="nil"/>
              <w:tr2bl w:val="nil"/>
            </w:tcBorders>
            <w:noWrap w:val="0"/>
            <w:vAlign w:val="center"/>
          </w:tcPr>
          <w:p w14:paraId="3F173C57">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设置双层隔声窗，选用低噪声设备，风管设置软连接。噪声较高设备设置减振基座和隔声罩</w:t>
            </w:r>
          </w:p>
        </w:tc>
        <w:tc>
          <w:tcPr>
            <w:tcW w:w="2132" w:type="dxa"/>
            <w:tcBorders>
              <w:tl2br w:val="nil"/>
              <w:tr2bl w:val="nil"/>
            </w:tcBorders>
            <w:noWrap w:val="0"/>
            <w:vAlign w:val="center"/>
          </w:tcPr>
          <w:p w14:paraId="649D6C62">
            <w:pPr>
              <w:pStyle w:val="47"/>
              <w:bidi w:val="0"/>
              <w:rPr>
                <w:rFonts w:hint="default" w:ascii="Times New Roman" w:hAnsi="Times New Roman" w:cs="Times New Roman"/>
                <w:color w:val="auto"/>
                <w:sz w:val="21"/>
                <w:szCs w:val="21"/>
                <w:highlight w:val="none"/>
              </w:rPr>
            </w:pPr>
            <w:r>
              <w:rPr>
                <w:rFonts w:hint="default" w:ascii="Times New Roman" w:hAnsi="Times New Roman" w:eastAsia="宋体" w:cs="Times New Roman"/>
                <w:bCs/>
                <w:color w:val="auto"/>
                <w:kern w:val="0"/>
                <w:sz w:val="21"/>
                <w:szCs w:val="21"/>
                <w:highlight w:val="none"/>
              </w:rPr>
              <w:t>《工业企业厂界环境噪声排放标准》（GB12348-2008）</w:t>
            </w:r>
          </w:p>
        </w:tc>
      </w:tr>
      <w:tr w14:paraId="29883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4992A9E8">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电磁辐射</w:t>
            </w:r>
          </w:p>
        </w:tc>
        <w:tc>
          <w:tcPr>
            <w:tcW w:w="1680" w:type="dxa"/>
            <w:tcBorders>
              <w:tl2br w:val="nil"/>
              <w:tr2bl w:val="nil"/>
            </w:tcBorders>
            <w:noWrap w:val="0"/>
            <w:vAlign w:val="center"/>
          </w:tcPr>
          <w:p w14:paraId="1990DCBE">
            <w:pPr>
              <w:pStyle w:val="47"/>
              <w:bidi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530" w:type="dxa"/>
            <w:tcBorders>
              <w:tl2br w:val="nil"/>
              <w:tr2bl w:val="nil"/>
            </w:tcBorders>
            <w:noWrap w:val="0"/>
            <w:vAlign w:val="center"/>
          </w:tcPr>
          <w:p w14:paraId="2A7D2929">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515" w:type="dxa"/>
            <w:tcBorders>
              <w:tl2br w:val="nil"/>
              <w:tr2bl w:val="nil"/>
            </w:tcBorders>
            <w:noWrap w:val="0"/>
            <w:vAlign w:val="center"/>
          </w:tcPr>
          <w:p w14:paraId="2DBE45AA">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132" w:type="dxa"/>
            <w:tcBorders>
              <w:tl2br w:val="nil"/>
              <w:tr2bl w:val="nil"/>
            </w:tcBorders>
            <w:noWrap w:val="0"/>
            <w:vAlign w:val="center"/>
          </w:tcPr>
          <w:p w14:paraId="530F526A">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02A8C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34015D62">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7857" w:type="dxa"/>
            <w:gridSpan w:val="4"/>
            <w:tcBorders>
              <w:tl2br w:val="nil"/>
              <w:tr2bl w:val="nil"/>
            </w:tcBorders>
            <w:noWrap w:val="0"/>
            <w:vAlign w:val="center"/>
          </w:tcPr>
          <w:p w14:paraId="56E31C11">
            <w:pPr>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生活垃圾分类收集，集中交由环卫部门统一清运卫生填埋；烟灰、石膏</w:t>
            </w:r>
            <w:r>
              <w:rPr>
                <w:rFonts w:hint="default" w:ascii="Times New Roman" w:hAnsi="Times New Roman" w:cs="Times New Roman"/>
                <w:color w:val="auto"/>
                <w:sz w:val="21"/>
                <w:szCs w:val="21"/>
                <w:highlight w:val="none"/>
              </w:rPr>
              <w:t>全部外售给建筑公司用作原料使用</w:t>
            </w:r>
            <w:r>
              <w:rPr>
                <w:rFonts w:hint="default" w:ascii="Times New Roman" w:hAnsi="Times New Roman" w:cs="Times New Roman"/>
                <w:color w:val="auto"/>
                <w:sz w:val="21"/>
                <w:szCs w:val="21"/>
                <w:highlight w:val="none"/>
                <w:lang w:val="en-US" w:eastAsia="zh-CN"/>
              </w:rPr>
              <w:t>；灰渣</w:t>
            </w:r>
            <w:bookmarkStart w:id="120" w:name="hmcheck_a8dcb82944da4998bfb63131d0299354"/>
            <w:r>
              <w:rPr>
                <w:rFonts w:hint="default" w:ascii="Times New Roman" w:hAnsi="Times New Roman" w:cs="Times New Roman"/>
                <w:color w:val="auto"/>
                <w:sz w:val="21"/>
                <w:szCs w:val="21"/>
                <w:highlight w:val="none"/>
                <w:lang w:val="en-US" w:eastAsia="zh-CN"/>
              </w:rPr>
              <w:t>外售</w:t>
            </w:r>
            <w:bookmarkEnd w:id="120"/>
            <w:r>
              <w:rPr>
                <w:rFonts w:hint="default" w:ascii="Times New Roman" w:hAnsi="Times New Roman" w:cs="Times New Roman"/>
                <w:color w:val="auto"/>
                <w:sz w:val="21"/>
                <w:szCs w:val="21"/>
                <w:highlight w:val="none"/>
                <w:lang w:val="en-US" w:eastAsia="zh-CN"/>
              </w:rPr>
              <w:t>农户作为灰肥还田、杂质</w:t>
            </w:r>
            <w:bookmarkStart w:id="121" w:name="hmcheck_b4a28c81930a49db8c40365b45cd821f"/>
            <w:r>
              <w:rPr>
                <w:rFonts w:hint="default" w:ascii="Times New Roman" w:hAnsi="Times New Roman" w:cs="Times New Roman"/>
                <w:color w:val="auto"/>
                <w:sz w:val="21"/>
                <w:szCs w:val="21"/>
                <w:highlight w:val="none"/>
                <w:lang w:val="en-US" w:eastAsia="zh-CN"/>
              </w:rPr>
              <w:t>外售</w:t>
            </w:r>
            <w:bookmarkEnd w:id="121"/>
            <w:r>
              <w:rPr>
                <w:rFonts w:hint="default" w:ascii="Times New Roman" w:hAnsi="Times New Roman" w:cs="Times New Roman"/>
                <w:color w:val="auto"/>
                <w:sz w:val="21"/>
                <w:szCs w:val="21"/>
                <w:highlight w:val="none"/>
                <w:lang w:val="en-US" w:eastAsia="zh-CN"/>
              </w:rPr>
              <w:t>农户用于堆肥；废包装袋集中收集后外售当地废品回收站</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废布袋由设备厂家回收处理。危险废物交由具有相应处理资质的单位进行后续处置。</w:t>
            </w:r>
          </w:p>
        </w:tc>
      </w:tr>
      <w:tr w14:paraId="4BAAC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7000DF8C">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土壤及地下水污染防治措施</w:t>
            </w:r>
          </w:p>
        </w:tc>
        <w:tc>
          <w:tcPr>
            <w:tcW w:w="7857" w:type="dxa"/>
            <w:gridSpan w:val="4"/>
            <w:tcBorders>
              <w:tl2br w:val="nil"/>
              <w:tr2bl w:val="nil"/>
            </w:tcBorders>
            <w:noWrap w:val="0"/>
            <w:vAlign w:val="center"/>
          </w:tcPr>
          <w:p w14:paraId="6CD61A6E">
            <w:pPr>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在场内分别建立雨、</w:t>
            </w:r>
            <w:bookmarkStart w:id="122" w:name="hmcheck_09d9be9db5ae41c0a973b67fc761d24f"/>
            <w:r>
              <w:rPr>
                <w:rFonts w:hint="default" w:ascii="Times New Roman" w:hAnsi="Times New Roman" w:cs="Times New Roman"/>
                <w:color w:val="auto"/>
                <w:sz w:val="21"/>
                <w:szCs w:val="21"/>
                <w:highlight w:val="none"/>
              </w:rPr>
              <w:t>污</w:t>
            </w:r>
            <w:bookmarkEnd w:id="122"/>
            <w:r>
              <w:rPr>
                <w:rFonts w:hint="default" w:ascii="Times New Roman" w:hAnsi="Times New Roman" w:cs="Times New Roman"/>
                <w:color w:val="auto"/>
                <w:sz w:val="21"/>
                <w:szCs w:val="21"/>
                <w:highlight w:val="none"/>
              </w:rPr>
              <w:t>收集管网，实行雨污分流制。雨水经明沟排至</w:t>
            </w:r>
            <w:r>
              <w:rPr>
                <w:rFonts w:hint="default" w:ascii="Times New Roman" w:hAnsi="Times New Roman" w:cs="Times New Roman"/>
                <w:color w:val="auto"/>
                <w:sz w:val="21"/>
                <w:szCs w:val="21"/>
                <w:highlight w:val="none"/>
                <w:lang w:val="en-US" w:eastAsia="zh-CN"/>
              </w:rPr>
              <w:t>厂区绿化带</w:t>
            </w:r>
            <w:r>
              <w:rPr>
                <w:rFonts w:hint="default" w:ascii="Times New Roman" w:hAnsi="Times New Roman" w:cs="Times New Roman"/>
                <w:color w:val="auto"/>
                <w:sz w:val="21"/>
                <w:szCs w:val="21"/>
                <w:highlight w:val="none"/>
              </w:rPr>
              <w:t>，生活污水经</w:t>
            </w:r>
            <w:r>
              <w:rPr>
                <w:rFonts w:hint="default" w:ascii="Times New Roman" w:hAnsi="Times New Roman" w:cs="Times New Roman"/>
                <w:color w:val="auto"/>
                <w:sz w:val="21"/>
                <w:szCs w:val="21"/>
                <w:highlight w:val="none"/>
                <w:lang w:val="en-US" w:eastAsia="zh-CN"/>
              </w:rPr>
              <w:t>排入防渗化粪池，</w:t>
            </w:r>
            <w:r>
              <w:rPr>
                <w:rFonts w:hint="default" w:ascii="Times New Roman" w:hAnsi="Times New Roman" w:cs="Times New Roman"/>
                <w:color w:val="auto"/>
                <w:spacing w:val="12"/>
                <w:sz w:val="21"/>
                <w:szCs w:val="21"/>
                <w:highlight w:val="none"/>
                <w:lang w:val="en-US" w:eastAsia="zh-CN"/>
              </w:rPr>
              <w:t>委托当地吸污车定期拉运处理</w:t>
            </w:r>
            <w:r>
              <w:rPr>
                <w:rFonts w:hint="default" w:ascii="Times New Roman" w:hAnsi="Times New Roman" w:cs="Times New Roman"/>
                <w:color w:val="auto"/>
                <w:sz w:val="21"/>
                <w:szCs w:val="21"/>
                <w:highlight w:val="none"/>
              </w:rPr>
              <w:t>；各装置之间管道采用架空敷设，便于及时发现渗漏，防止地下水污染；场内要采取综合防渗措施，防止污染物下渗。危废暂存间、</w:t>
            </w:r>
            <w:r>
              <w:rPr>
                <w:rFonts w:hint="default" w:ascii="Times New Roman" w:hAnsi="Times New Roman" w:cs="Times New Roman"/>
                <w:color w:val="auto"/>
                <w:sz w:val="21"/>
                <w:szCs w:val="21"/>
                <w:highlight w:val="none"/>
                <w:lang w:val="en-US" w:eastAsia="zh-CN"/>
              </w:rPr>
              <w:t>化粪池、灰渣池、脱硫废水循环池</w:t>
            </w:r>
            <w:r>
              <w:rPr>
                <w:rFonts w:hint="default" w:ascii="Times New Roman" w:hAnsi="Times New Roman" w:cs="Times New Roman"/>
                <w:color w:val="auto"/>
                <w:sz w:val="21"/>
                <w:szCs w:val="21"/>
                <w:highlight w:val="none"/>
              </w:rPr>
              <w:t>等污染性大且较易接触地下水的区域为重点污染防渗区；</w:t>
            </w:r>
            <w:r>
              <w:rPr>
                <w:rFonts w:hint="default" w:ascii="Times New Roman" w:hAnsi="Times New Roman" w:cs="Times New Roman"/>
                <w:color w:val="auto"/>
                <w:sz w:val="21"/>
                <w:szCs w:val="21"/>
                <w:highlight w:val="none"/>
                <w:lang w:val="en-US" w:eastAsia="zh-CN"/>
              </w:rPr>
              <w:t>一般固体废物暂存处、仓储车间</w:t>
            </w:r>
            <w:r>
              <w:rPr>
                <w:rFonts w:hint="default" w:ascii="Times New Roman" w:hAnsi="Times New Roman" w:cs="Times New Roman"/>
                <w:color w:val="auto"/>
                <w:sz w:val="21"/>
                <w:szCs w:val="21"/>
                <w:highlight w:val="none"/>
              </w:rPr>
              <w:t>为一般防渗区；</w:t>
            </w:r>
            <w:r>
              <w:rPr>
                <w:rFonts w:hint="default" w:ascii="Times New Roman" w:hAnsi="Times New Roman" w:cs="Times New Roman"/>
                <w:color w:val="auto"/>
                <w:sz w:val="21"/>
                <w:szCs w:val="21"/>
                <w:highlight w:val="none"/>
                <w:lang w:val="en-US" w:eastAsia="zh-CN"/>
              </w:rPr>
              <w:t>职工生活区</w:t>
            </w:r>
            <w:r>
              <w:rPr>
                <w:rFonts w:hint="default" w:ascii="Times New Roman" w:hAnsi="Times New Roman" w:cs="Times New Roman"/>
                <w:color w:val="auto"/>
                <w:sz w:val="21"/>
                <w:szCs w:val="21"/>
                <w:highlight w:val="none"/>
              </w:rPr>
              <w:t>等其他区域为非污染区。</w:t>
            </w:r>
          </w:p>
        </w:tc>
      </w:tr>
      <w:tr w14:paraId="52E9D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0395A897">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生态保护措施</w:t>
            </w:r>
          </w:p>
        </w:tc>
        <w:tc>
          <w:tcPr>
            <w:tcW w:w="7857" w:type="dxa"/>
            <w:gridSpan w:val="4"/>
            <w:tcBorders>
              <w:tl2br w:val="nil"/>
              <w:tr2bl w:val="nil"/>
            </w:tcBorders>
            <w:noWrap w:val="0"/>
            <w:vAlign w:val="center"/>
          </w:tcPr>
          <w:p w14:paraId="1C14734C">
            <w:pPr>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施工期控制施工作业面，不随意堆放建筑材料，施工结束后恢复施工迹地，</w:t>
            </w:r>
            <w:r>
              <w:rPr>
                <w:rFonts w:hint="default" w:ascii="Times New Roman" w:hAnsi="Times New Roman" w:cs="Times New Roman"/>
                <w:color w:val="auto"/>
                <w:sz w:val="21"/>
                <w:szCs w:val="21"/>
                <w:highlight w:val="none"/>
                <w:lang w:val="en-US" w:eastAsia="zh-CN"/>
              </w:rPr>
              <w:t>运营期</w:t>
            </w:r>
            <w:r>
              <w:rPr>
                <w:rFonts w:hint="default" w:ascii="Times New Roman" w:hAnsi="Times New Roman" w:cs="Times New Roman"/>
                <w:color w:val="auto"/>
                <w:sz w:val="21"/>
                <w:szCs w:val="21"/>
                <w:highlight w:val="none"/>
              </w:rPr>
              <w:t>场地内地面硬化。</w:t>
            </w:r>
          </w:p>
          <w:p w14:paraId="05364B99">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在项目区西侧及南侧种植5m宽的绿化带，以本地常见的阔叶树种为主。</w:t>
            </w:r>
          </w:p>
        </w:tc>
      </w:tr>
      <w:tr w14:paraId="1D520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l2br w:val="nil"/>
              <w:tr2bl w:val="nil"/>
            </w:tcBorders>
            <w:noWrap w:val="0"/>
            <w:vAlign w:val="center"/>
          </w:tcPr>
          <w:p w14:paraId="3C2D66A0">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w:t>
            </w:r>
          </w:p>
          <w:p w14:paraId="3DA037D8">
            <w:pPr>
              <w:pStyle w:val="47"/>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防范措施</w:t>
            </w:r>
          </w:p>
        </w:tc>
        <w:tc>
          <w:tcPr>
            <w:tcW w:w="7857" w:type="dxa"/>
            <w:gridSpan w:val="4"/>
            <w:tcBorders>
              <w:tl2br w:val="nil"/>
              <w:tr2bl w:val="nil"/>
            </w:tcBorders>
            <w:noWrap w:val="0"/>
            <w:vAlign w:val="center"/>
          </w:tcPr>
          <w:p w14:paraId="38B88C00">
            <w:pPr>
              <w:bidi w:val="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建立健全突发环境事件应急预案</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建立风险应急制度及应急演练计划</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突发环境事件应急预案应通过专家评审并在环境主管部门备案</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加强设备保养</w:t>
            </w:r>
            <w:r>
              <w:rPr>
                <w:rFonts w:hint="default" w:ascii="Times New Roman" w:hAnsi="Times New Roman" w:cs="Times New Roman"/>
                <w:color w:val="auto"/>
                <w:sz w:val="21"/>
                <w:szCs w:val="21"/>
                <w:highlight w:val="none"/>
                <w:lang w:val="en-US" w:eastAsia="zh-CN"/>
              </w:rPr>
              <w:t>和巡检，</w:t>
            </w:r>
            <w:r>
              <w:rPr>
                <w:rFonts w:hint="default" w:ascii="Times New Roman" w:hAnsi="Times New Roman" w:cs="Times New Roman"/>
                <w:color w:val="auto"/>
                <w:sz w:val="21"/>
                <w:szCs w:val="21"/>
                <w:highlight w:val="none"/>
              </w:rPr>
              <w:t>保证设备设施的正常运行，不得出现跑冒滴漏的情况</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加强消防巡检和管理，防止出现大规模火灾。</w:t>
            </w:r>
          </w:p>
        </w:tc>
      </w:tr>
      <w:tr w14:paraId="102D4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9" w:hRule="atLeast"/>
          <w:jc w:val="center"/>
        </w:trPr>
        <w:tc>
          <w:tcPr>
            <w:tcW w:w="1160" w:type="dxa"/>
            <w:tcBorders>
              <w:tl2br w:val="nil"/>
              <w:tr2bl w:val="nil"/>
            </w:tcBorders>
            <w:noWrap w:val="0"/>
            <w:vAlign w:val="center"/>
          </w:tcPr>
          <w:p w14:paraId="26ABF158">
            <w:pPr>
              <w:pStyle w:val="47"/>
              <w:bidi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其他环境管理要求</w:t>
            </w:r>
          </w:p>
        </w:tc>
        <w:tc>
          <w:tcPr>
            <w:tcW w:w="7857" w:type="dxa"/>
            <w:gridSpan w:val="4"/>
            <w:tcBorders>
              <w:tl2br w:val="nil"/>
              <w:tr2bl w:val="nil"/>
            </w:tcBorders>
            <w:noWrap w:val="0"/>
            <w:vAlign w:val="center"/>
          </w:tcPr>
          <w:p w14:paraId="07446ECE">
            <w:pPr>
              <w:bidi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1、环境体制与机构</w:t>
            </w:r>
          </w:p>
          <w:p w14:paraId="5179FB40">
            <w:pPr>
              <w:bidi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本项目建成后，由</w:t>
            </w:r>
            <w:r>
              <w:rPr>
                <w:rFonts w:hint="default" w:ascii="Times New Roman" w:hAnsi="Times New Roman" w:cs="Times New Roman"/>
                <w:color w:val="auto"/>
                <w:sz w:val="24"/>
                <w:szCs w:val="24"/>
                <w:highlight w:val="none"/>
                <w:lang w:val="en-US" w:eastAsia="zh-CN"/>
              </w:rPr>
              <w:t>建设单位</w:t>
            </w:r>
            <w:r>
              <w:rPr>
                <w:rFonts w:hint="default" w:ascii="Times New Roman" w:hAnsi="Times New Roman" w:cs="Times New Roman"/>
                <w:color w:val="auto"/>
                <w:sz w:val="24"/>
                <w:szCs w:val="24"/>
                <w:highlight w:val="none"/>
              </w:rPr>
              <w:t>主管环保工作，负责</w:t>
            </w:r>
            <w:r>
              <w:rPr>
                <w:rFonts w:hint="default" w:ascii="Times New Roman" w:hAnsi="Times New Roman"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rPr>
              <w:t>的环卫工作。应成立专门环境管理办公室负责环境档案的建立和环境制度的落实。环境监测由当地环境监测站或具备环境监测资质的单位进行监测，监控污染物排放及环保设施的运转状况。</w:t>
            </w:r>
          </w:p>
          <w:p w14:paraId="74802BF6">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2、管理职责</w:t>
            </w:r>
          </w:p>
          <w:p w14:paraId="01B096D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（1）贯彻执行国家、</w:t>
            </w:r>
            <w:r>
              <w:rPr>
                <w:rFonts w:hint="default" w:ascii="Times New Roman" w:hAnsi="Times New Roman" w:cs="Times New Roman"/>
                <w:color w:val="auto"/>
                <w:sz w:val="24"/>
                <w:szCs w:val="24"/>
                <w:highlight w:val="none"/>
                <w:lang w:val="en-US" w:eastAsia="zh-CN"/>
              </w:rPr>
              <w:t>自治区级</w:t>
            </w:r>
            <w:r>
              <w:rPr>
                <w:rFonts w:hint="default" w:ascii="Times New Roman" w:hAnsi="Times New Roman" w:eastAsia="宋体" w:cs="Times New Roman"/>
                <w:color w:val="auto"/>
                <w:sz w:val="24"/>
                <w:szCs w:val="24"/>
                <w:highlight w:val="none"/>
              </w:rPr>
              <w:t>、地方各项环保政策、法规、标准，根据本</w:t>
            </w:r>
            <w:r>
              <w:rPr>
                <w:rFonts w:hint="default" w:ascii="Times New Roman" w:hAnsi="Times New Roman" w:cs="Times New Roman"/>
                <w:color w:val="auto"/>
                <w:sz w:val="24"/>
                <w:szCs w:val="24"/>
                <w:highlight w:val="none"/>
                <w:lang w:val="en-US" w:eastAsia="zh-CN"/>
              </w:rPr>
              <w:t>厂</w:t>
            </w:r>
            <w:r>
              <w:rPr>
                <w:rFonts w:hint="default" w:ascii="Times New Roman" w:hAnsi="Times New Roman" w:eastAsia="宋体" w:cs="Times New Roman"/>
                <w:color w:val="auto"/>
                <w:sz w:val="24"/>
                <w:szCs w:val="24"/>
                <w:highlight w:val="none"/>
              </w:rPr>
              <w:t>实际，编制环境保护规划和实施细则，并组织实施，监督执行。</w:t>
            </w:r>
          </w:p>
          <w:p w14:paraId="4EC9D15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（2）组织和管理</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 xml:space="preserve">的污染治理工作，负责环保治理设施的运行及管理工作，建立污染物浓度和排放总量双项控制制度，并彻底做到各项污染物达标排放。 </w:t>
            </w:r>
          </w:p>
          <w:p w14:paraId="0951401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（3）定期进行</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环境管理人员的环保知识和技术培训工作。</w:t>
            </w:r>
          </w:p>
          <w:p w14:paraId="5AF51E0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（4）通过技术培训，不断提高治理设施的处理水平和可操作性。</w:t>
            </w:r>
          </w:p>
          <w:p w14:paraId="128C8FFC">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（5）做好常规环境统计工作，掌握各项治理设施的运行状况。</w:t>
            </w:r>
          </w:p>
          <w:p w14:paraId="184A193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（6）科学组织</w:t>
            </w:r>
            <w:r>
              <w:rPr>
                <w:rFonts w:hint="default" w:ascii="Times New Roman" w:hAnsi="Times New Roman" w:eastAsia="宋体" w:cs="Times New Roman"/>
                <w:color w:val="auto"/>
                <w:sz w:val="24"/>
                <w:szCs w:val="24"/>
                <w:highlight w:val="none"/>
                <w:lang w:val="en-US" w:eastAsia="zh-CN"/>
              </w:rPr>
              <w:t>项目运营</w:t>
            </w:r>
            <w:r>
              <w:rPr>
                <w:rFonts w:hint="default" w:ascii="Times New Roman" w:hAnsi="Times New Roman" w:eastAsia="宋体" w:cs="Times New Roman"/>
                <w:color w:val="auto"/>
                <w:sz w:val="24"/>
                <w:szCs w:val="24"/>
                <w:highlight w:val="none"/>
              </w:rPr>
              <w:t>。通过及时全面了解</w:t>
            </w:r>
            <w:r>
              <w:rPr>
                <w:rFonts w:hint="default" w:ascii="Times New Roman" w:hAnsi="Times New Roman" w:eastAsia="宋体" w:cs="Times New Roman"/>
                <w:color w:val="auto"/>
                <w:sz w:val="24"/>
                <w:szCs w:val="24"/>
                <w:highlight w:val="none"/>
                <w:lang w:val="en-US" w:eastAsia="zh-CN"/>
              </w:rPr>
              <w:t>运营</w:t>
            </w:r>
            <w:r>
              <w:rPr>
                <w:rFonts w:hint="default" w:ascii="Times New Roman" w:hAnsi="Times New Roman" w:eastAsia="宋体" w:cs="Times New Roman"/>
                <w:color w:val="auto"/>
                <w:sz w:val="24"/>
                <w:szCs w:val="24"/>
                <w:highlight w:val="none"/>
              </w:rPr>
              <w:t>情况，均衡</w:t>
            </w:r>
            <w:r>
              <w:rPr>
                <w:rFonts w:hint="default" w:ascii="Times New Roman" w:hAnsi="Times New Roman" w:eastAsia="宋体" w:cs="Times New Roman"/>
                <w:color w:val="auto"/>
                <w:sz w:val="24"/>
                <w:szCs w:val="24"/>
                <w:highlight w:val="none"/>
                <w:lang w:val="en-US" w:eastAsia="zh-CN"/>
              </w:rPr>
              <w:t>游客接待</w:t>
            </w:r>
            <w:r>
              <w:rPr>
                <w:rFonts w:hint="default" w:ascii="Times New Roman" w:hAnsi="Times New Roman" w:eastAsia="宋体" w:cs="Times New Roman"/>
                <w:color w:val="auto"/>
                <w:sz w:val="24"/>
                <w:szCs w:val="24"/>
                <w:highlight w:val="none"/>
              </w:rPr>
              <w:t>，使</w:t>
            </w:r>
            <w:r>
              <w:rPr>
                <w:rFonts w:hint="default" w:ascii="Times New Roman" w:hAnsi="Times New Roman" w:eastAsia="宋体" w:cs="Times New Roman"/>
                <w:color w:val="auto"/>
                <w:sz w:val="24"/>
                <w:szCs w:val="24"/>
                <w:highlight w:val="none"/>
                <w:lang w:val="en-US" w:eastAsia="zh-CN"/>
              </w:rPr>
              <w:t>配套服务</w:t>
            </w:r>
            <w:r>
              <w:rPr>
                <w:rFonts w:hint="default" w:ascii="Times New Roman" w:hAnsi="Times New Roman" w:eastAsia="宋体" w:cs="Times New Roman"/>
                <w:color w:val="auto"/>
                <w:sz w:val="24"/>
                <w:szCs w:val="24"/>
                <w:highlight w:val="none"/>
              </w:rPr>
              <w:t>各环节协调进行，加强环境保护工作调度，做好突发事故时防止污染的应急措施，使生产过程的污染物排放达到最低限度。</w:t>
            </w:r>
          </w:p>
          <w:p w14:paraId="6DC65E6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（7）加强物资管理。加强物资管理实行无害保管、无害运输、限额发放、控制消耗定额、保证原材料质量也会对减少排污量起一定作用。</w:t>
            </w:r>
          </w:p>
          <w:p w14:paraId="2C577B6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（8）设备管理。合理使用设备，加强对设备的维护和修理，改造设备的结构，杜绝设备和管道的跑、冒、漏现象，防止有害物质的泄漏。</w:t>
            </w:r>
          </w:p>
          <w:p w14:paraId="1D77D29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（9）废弃物管理。针对项目营运期产生的生活垃圾，应集中收集及时处理，严禁长时间在厂区堆存污染环境。</w:t>
            </w:r>
          </w:p>
          <w:p w14:paraId="04199A47">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3、排污口规范化管理</w:t>
            </w:r>
          </w:p>
          <w:p w14:paraId="36FFF6E3">
            <w:pPr>
              <w:keepNext w:val="0"/>
              <w:keepLines w:val="0"/>
              <w:suppressLineNumbers w:val="0"/>
              <w:spacing w:before="0" w:beforeAutospacing="0" w:after="0" w:afterAutospacing="0"/>
              <w:ind w:right="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3.1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排污口标识</w:t>
            </w:r>
          </w:p>
          <w:p w14:paraId="494428E0">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项目应完成废气排放源、噪声排放源、一般固体废物堆场的规范化建设，其投资纳入项目总投资中，同时各项污染源排放口应设置专项图标，执行《环境保护图形标志-排放口（源）》（GB15562-1995）</w:t>
            </w:r>
            <w:r>
              <w:rPr>
                <w:rFonts w:hint="default" w:ascii="Times New Roman" w:hAnsi="Times New Roman" w:cs="Times New Roman"/>
                <w:color w:val="auto"/>
                <w:sz w:val="24"/>
                <w:szCs w:val="24"/>
                <w:highlight w:val="none"/>
                <w:lang w:val="en-US" w:eastAsia="zh-CN"/>
              </w:rPr>
              <w:t>及其修改单</w:t>
            </w:r>
            <w:r>
              <w:rPr>
                <w:rFonts w:hint="default" w:ascii="Times New Roman" w:hAnsi="Times New Roman" w:cs="Times New Roman"/>
                <w:color w:val="auto"/>
                <w:sz w:val="24"/>
                <w:szCs w:val="24"/>
                <w:highlight w:val="none"/>
              </w:rPr>
              <w:t>，详见下表</w:t>
            </w:r>
            <w:r>
              <w:rPr>
                <w:rFonts w:hint="default" w:ascii="Times New Roman" w:hAnsi="Times New Roman" w:cs="Times New Roman"/>
                <w:color w:val="auto"/>
                <w:sz w:val="24"/>
                <w:szCs w:val="24"/>
                <w:highlight w:val="none"/>
                <w:lang w:val="en-US" w:eastAsia="zh-CN"/>
              </w:rPr>
              <w:t>5-1</w:t>
            </w:r>
            <w:r>
              <w:rPr>
                <w:rFonts w:hint="default" w:ascii="Times New Roman" w:hAnsi="Times New Roman" w:cs="Times New Roman"/>
                <w:color w:val="auto"/>
                <w:sz w:val="24"/>
                <w:szCs w:val="24"/>
                <w:highlight w:val="none"/>
              </w:rPr>
              <w:t>。</w:t>
            </w:r>
          </w:p>
          <w:p w14:paraId="6AA26939">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5-1</w:t>
            </w:r>
            <w:r>
              <w:rPr>
                <w:rFonts w:hint="default" w:ascii="Times New Roman" w:hAnsi="Times New Roman" w:eastAsia="宋体" w:cs="Times New Roman"/>
                <w:b/>
                <w:bCs/>
                <w:color w:val="auto"/>
                <w:sz w:val="21"/>
                <w:szCs w:val="21"/>
                <w:highlight w:val="none"/>
              </w:rPr>
              <w:t xml:space="preserve">   各排污口（源）标志牌设置示意图表</w:t>
            </w:r>
          </w:p>
          <w:tbl>
            <w:tblPr>
              <w:tblStyle w:val="19"/>
              <w:tblW w:w="765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974"/>
              <w:gridCol w:w="1320"/>
              <w:gridCol w:w="1319"/>
              <w:gridCol w:w="1321"/>
              <w:gridCol w:w="1319"/>
              <w:gridCol w:w="1400"/>
            </w:tblGrid>
            <w:tr w14:paraId="7EA0A3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74" w:type="dxa"/>
                  <w:tcBorders>
                    <w:bottom w:val="single" w:color="auto" w:sz="12" w:space="0"/>
                  </w:tcBorders>
                  <w:vAlign w:val="center"/>
                </w:tcPr>
                <w:p w14:paraId="3AE55D6F">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名称</w:t>
                  </w:r>
                </w:p>
              </w:tc>
              <w:tc>
                <w:tcPr>
                  <w:tcW w:w="1320" w:type="dxa"/>
                  <w:tcBorders>
                    <w:bottom w:val="single" w:color="auto" w:sz="12" w:space="0"/>
                  </w:tcBorders>
                  <w:vAlign w:val="center"/>
                </w:tcPr>
                <w:p w14:paraId="7EE88577">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废气排放口</w:t>
                  </w:r>
                </w:p>
              </w:tc>
              <w:tc>
                <w:tcPr>
                  <w:tcW w:w="1319" w:type="dxa"/>
                  <w:tcBorders>
                    <w:bottom w:val="single" w:color="auto" w:sz="12" w:space="0"/>
                  </w:tcBorders>
                  <w:vAlign w:val="center"/>
                </w:tcPr>
                <w:p w14:paraId="1E58D332">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废水排放口</w:t>
                  </w:r>
                </w:p>
              </w:tc>
              <w:tc>
                <w:tcPr>
                  <w:tcW w:w="1321" w:type="dxa"/>
                  <w:tcBorders>
                    <w:bottom w:val="single" w:color="auto" w:sz="12" w:space="0"/>
                  </w:tcBorders>
                  <w:vAlign w:val="center"/>
                </w:tcPr>
                <w:p w14:paraId="316B2A02">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噪声排放源</w:t>
                  </w:r>
                </w:p>
              </w:tc>
              <w:tc>
                <w:tcPr>
                  <w:tcW w:w="1319" w:type="dxa"/>
                  <w:tcBorders>
                    <w:bottom w:val="single" w:color="auto" w:sz="12" w:space="0"/>
                  </w:tcBorders>
                  <w:vAlign w:val="center"/>
                </w:tcPr>
                <w:p w14:paraId="2D55F86F">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一般固体废物</w:t>
                  </w:r>
                </w:p>
              </w:tc>
              <w:tc>
                <w:tcPr>
                  <w:tcW w:w="1400" w:type="dxa"/>
                  <w:tcBorders>
                    <w:bottom w:val="single" w:color="auto" w:sz="12" w:space="0"/>
                  </w:tcBorders>
                  <w:vAlign w:val="center"/>
                </w:tcPr>
                <w:p w14:paraId="23DE640E">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危险固体废物</w:t>
                  </w:r>
                </w:p>
              </w:tc>
            </w:tr>
            <w:tr w14:paraId="39B77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74" w:type="dxa"/>
                  <w:tcBorders>
                    <w:top w:val="single" w:color="auto" w:sz="12" w:space="0"/>
                  </w:tcBorders>
                  <w:vAlign w:val="center"/>
                </w:tcPr>
                <w:p w14:paraId="652346C8">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提示</w:t>
                  </w:r>
                </w:p>
                <w:p w14:paraId="2FA201A3">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图形</w:t>
                  </w:r>
                </w:p>
                <w:p w14:paraId="791AD84E">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符号</w:t>
                  </w:r>
                </w:p>
              </w:tc>
              <w:tc>
                <w:tcPr>
                  <w:tcW w:w="1320" w:type="dxa"/>
                  <w:tcBorders>
                    <w:top w:val="single" w:color="auto" w:sz="12" w:space="0"/>
                  </w:tcBorders>
                  <w:vAlign w:val="center"/>
                </w:tcPr>
                <w:p w14:paraId="5169ED14">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720090" cy="720090"/>
                        <wp:effectExtent l="0" t="0" r="3810" b="381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23"/>
                                <a:stretch>
                                  <a:fillRect/>
                                </a:stretch>
                              </pic:blipFill>
                              <pic:spPr>
                                <a:xfrm>
                                  <a:off x="0" y="0"/>
                                  <a:ext cx="720090" cy="720090"/>
                                </a:xfrm>
                                <a:prstGeom prst="rect">
                                  <a:avLst/>
                                </a:prstGeom>
                                <a:noFill/>
                                <a:ln>
                                  <a:noFill/>
                                </a:ln>
                              </pic:spPr>
                            </pic:pic>
                          </a:graphicData>
                        </a:graphic>
                      </wp:inline>
                    </w:drawing>
                  </w:r>
                </w:p>
              </w:tc>
              <w:tc>
                <w:tcPr>
                  <w:tcW w:w="1319" w:type="dxa"/>
                  <w:tcBorders>
                    <w:top w:val="single" w:color="auto" w:sz="12" w:space="0"/>
                  </w:tcBorders>
                  <w:vAlign w:val="center"/>
                </w:tcPr>
                <w:p w14:paraId="394D3984">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720090" cy="720090"/>
                        <wp:effectExtent l="0" t="0" r="3810" b="381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24"/>
                                <a:stretch>
                                  <a:fillRect/>
                                </a:stretch>
                              </pic:blipFill>
                              <pic:spPr>
                                <a:xfrm>
                                  <a:off x="0" y="0"/>
                                  <a:ext cx="720090" cy="720090"/>
                                </a:xfrm>
                                <a:prstGeom prst="rect">
                                  <a:avLst/>
                                </a:prstGeom>
                                <a:noFill/>
                                <a:ln>
                                  <a:noFill/>
                                </a:ln>
                              </pic:spPr>
                            </pic:pic>
                          </a:graphicData>
                        </a:graphic>
                      </wp:inline>
                    </w:drawing>
                  </w:r>
                </w:p>
              </w:tc>
              <w:tc>
                <w:tcPr>
                  <w:tcW w:w="1321" w:type="dxa"/>
                  <w:tcBorders>
                    <w:top w:val="single" w:color="auto" w:sz="12" w:space="0"/>
                  </w:tcBorders>
                  <w:vAlign w:val="center"/>
                </w:tcPr>
                <w:p w14:paraId="76E6F0CA">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720090" cy="720090"/>
                        <wp:effectExtent l="0" t="0" r="3810" b="3810"/>
                        <wp:docPr id="4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7"/>
                                <pic:cNvPicPr>
                                  <a:picLocks noChangeAspect="1"/>
                                </pic:cNvPicPr>
                              </pic:nvPicPr>
                              <pic:blipFill>
                                <a:blip r:embed="rId25"/>
                                <a:stretch>
                                  <a:fillRect/>
                                </a:stretch>
                              </pic:blipFill>
                              <pic:spPr>
                                <a:xfrm>
                                  <a:off x="0" y="0"/>
                                  <a:ext cx="720090" cy="720090"/>
                                </a:xfrm>
                                <a:prstGeom prst="rect">
                                  <a:avLst/>
                                </a:prstGeom>
                                <a:noFill/>
                                <a:ln>
                                  <a:noFill/>
                                </a:ln>
                              </pic:spPr>
                            </pic:pic>
                          </a:graphicData>
                        </a:graphic>
                      </wp:inline>
                    </w:drawing>
                  </w:r>
                </w:p>
              </w:tc>
              <w:tc>
                <w:tcPr>
                  <w:tcW w:w="1319" w:type="dxa"/>
                  <w:tcBorders>
                    <w:top w:val="single" w:color="auto" w:sz="12" w:space="0"/>
                  </w:tcBorders>
                  <w:vAlign w:val="center"/>
                </w:tcPr>
                <w:p w14:paraId="2806444C">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720090" cy="720090"/>
                        <wp:effectExtent l="0" t="0" r="3810" b="381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26"/>
                                <a:stretch>
                                  <a:fillRect/>
                                </a:stretch>
                              </pic:blipFill>
                              <pic:spPr>
                                <a:xfrm>
                                  <a:off x="0" y="0"/>
                                  <a:ext cx="720090" cy="720090"/>
                                </a:xfrm>
                                <a:prstGeom prst="rect">
                                  <a:avLst/>
                                </a:prstGeom>
                                <a:noFill/>
                                <a:ln>
                                  <a:noFill/>
                                </a:ln>
                              </pic:spPr>
                            </pic:pic>
                          </a:graphicData>
                        </a:graphic>
                      </wp:inline>
                    </w:drawing>
                  </w:r>
                </w:p>
              </w:tc>
              <w:tc>
                <w:tcPr>
                  <w:tcW w:w="1400" w:type="dxa"/>
                  <w:tcBorders>
                    <w:top w:val="single" w:color="auto" w:sz="12" w:space="0"/>
                  </w:tcBorders>
                  <w:vAlign w:val="center"/>
                </w:tcPr>
                <w:p w14:paraId="32BC7DED">
                  <w:pPr>
                    <w:pStyle w:val="35"/>
                    <w:keepNext w:val="0"/>
                    <w:keepLines w:val="0"/>
                    <w:suppressLineNumbers w:val="0"/>
                    <w:spacing w:before="0" w:beforeAutospacing="0" w:after="0" w:afterAutospacing="0"/>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743585" cy="658495"/>
                        <wp:effectExtent l="0" t="0" r="18415" b="8255"/>
                        <wp:docPr id="4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1"/>
                                <pic:cNvPicPr>
                                  <a:picLocks noChangeAspect="1"/>
                                </pic:cNvPicPr>
                              </pic:nvPicPr>
                              <pic:blipFill>
                                <a:blip r:embed="rId27"/>
                                <a:stretch>
                                  <a:fillRect/>
                                </a:stretch>
                              </pic:blipFill>
                              <pic:spPr>
                                <a:xfrm>
                                  <a:off x="0" y="0"/>
                                  <a:ext cx="743585" cy="658495"/>
                                </a:xfrm>
                                <a:prstGeom prst="rect">
                                  <a:avLst/>
                                </a:prstGeom>
                                <a:noFill/>
                                <a:ln>
                                  <a:noFill/>
                                </a:ln>
                              </pic:spPr>
                            </pic:pic>
                          </a:graphicData>
                        </a:graphic>
                      </wp:inline>
                    </w:drawing>
                  </w:r>
                </w:p>
              </w:tc>
            </w:tr>
            <w:tr w14:paraId="02BB3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74" w:type="dxa"/>
                  <w:vAlign w:val="center"/>
                </w:tcPr>
                <w:p w14:paraId="4C17B59D">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功能</w:t>
                  </w:r>
                </w:p>
              </w:tc>
              <w:tc>
                <w:tcPr>
                  <w:tcW w:w="1320" w:type="dxa"/>
                  <w:vAlign w:val="center"/>
                </w:tcPr>
                <w:p w14:paraId="5E52348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表示废气向大气环境排放</w:t>
                  </w:r>
                </w:p>
              </w:tc>
              <w:tc>
                <w:tcPr>
                  <w:tcW w:w="1319" w:type="dxa"/>
                  <w:vAlign w:val="center"/>
                </w:tcPr>
                <w:p w14:paraId="3F276335">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表示废水向水环境排放</w:t>
                  </w:r>
                </w:p>
              </w:tc>
              <w:tc>
                <w:tcPr>
                  <w:tcW w:w="1321" w:type="dxa"/>
                  <w:vAlign w:val="center"/>
                </w:tcPr>
                <w:p w14:paraId="52D41494">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表示噪声向外环境排放</w:t>
                  </w:r>
                </w:p>
              </w:tc>
              <w:tc>
                <w:tcPr>
                  <w:tcW w:w="1319" w:type="dxa"/>
                  <w:vAlign w:val="center"/>
                </w:tcPr>
                <w:p w14:paraId="376BDD1C">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表示一般固体废物贮存、处置场所</w:t>
                  </w:r>
                </w:p>
              </w:tc>
              <w:tc>
                <w:tcPr>
                  <w:tcW w:w="1400" w:type="dxa"/>
                  <w:vAlign w:val="center"/>
                </w:tcPr>
                <w:p w14:paraId="5DA8D787">
                  <w:pPr>
                    <w:pStyle w:val="35"/>
                    <w:keepNext w:val="0"/>
                    <w:keepLines w:val="0"/>
                    <w:suppressLineNumbers w:val="0"/>
                    <w:spacing w:before="0" w:beforeAutospacing="0" w:after="0" w:afterAutospacing="0" w:line="240" w:lineRule="exact"/>
                    <w:ind w:right="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表示危险固体废物贮存、处置场所</w:t>
                  </w:r>
                </w:p>
              </w:tc>
            </w:tr>
          </w:tbl>
          <w:p w14:paraId="0D2C6F23">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要求各排污口（源）提示标志形状采用正方形边框，背景颜色采用绿色，图形颜色采用白色，警告标志采用三角形边框，背景颜色采用黄色，图形颜色采用黑色，标志牌应设在与功能相应的醒目处，并保持清晰、完整。</w:t>
            </w:r>
          </w:p>
          <w:p w14:paraId="3EA7ECEB">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同时根据</w:t>
            </w:r>
            <w:r>
              <w:rPr>
                <w:rFonts w:hint="default" w:ascii="Times New Roman" w:hAnsi="Times New Roman" w:cs="Times New Roman"/>
                <w:color w:val="auto"/>
                <w:sz w:val="24"/>
                <w:szCs w:val="24"/>
                <w:highlight w:val="none"/>
              </w:rPr>
              <w:t>《危险废物贮存污染控制标准》（GB18597-2023）、《环境保护图形标志—固体废物贮存（处置）场》（GB15562.2-1995）修改单、《危险废物识别标志设置技术规范》（HJ1276-2022）已执行（2023年7月1日），</w:t>
            </w:r>
            <w:r>
              <w:rPr>
                <w:rFonts w:hint="default" w:ascii="Times New Roman" w:hAnsi="Times New Roman" w:cs="Times New Roman"/>
                <w:color w:val="auto"/>
                <w:sz w:val="24"/>
                <w:szCs w:val="24"/>
                <w:highlight w:val="none"/>
                <w:lang w:val="en-US" w:eastAsia="zh-CN"/>
              </w:rPr>
              <w:t>危险废物贮存库及容器标签</w:t>
            </w:r>
            <w:r>
              <w:rPr>
                <w:rFonts w:hint="default" w:ascii="Times New Roman" w:hAnsi="Times New Roman" w:cs="Times New Roman"/>
                <w:color w:val="auto"/>
                <w:sz w:val="24"/>
                <w:szCs w:val="24"/>
                <w:highlight w:val="none"/>
              </w:rPr>
              <w:t>具体</w:t>
            </w:r>
            <w:r>
              <w:rPr>
                <w:rFonts w:hint="default" w:ascii="Times New Roman" w:hAnsi="Times New Roman" w:cs="Times New Roman"/>
                <w:color w:val="auto"/>
                <w:sz w:val="24"/>
                <w:szCs w:val="24"/>
                <w:highlight w:val="none"/>
                <w:lang w:val="en-US" w:eastAsia="zh-CN"/>
              </w:rPr>
              <w:t>示例</w:t>
            </w:r>
            <w:r>
              <w:rPr>
                <w:rFonts w:hint="default" w:ascii="Times New Roman" w:hAnsi="Times New Roman" w:cs="Times New Roman"/>
                <w:color w:val="auto"/>
                <w:sz w:val="24"/>
                <w:szCs w:val="24"/>
                <w:highlight w:val="none"/>
              </w:rPr>
              <w:t>如下：</w:t>
            </w:r>
          </w:p>
          <w:p w14:paraId="5B972C0E">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表5-2   危险废物贮存库及储存容器标签示例</w:t>
            </w:r>
          </w:p>
          <w:tbl>
            <w:tblPr>
              <w:tblStyle w:val="20"/>
              <w:tblW w:w="765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490"/>
              <w:gridCol w:w="2551"/>
            </w:tblGrid>
            <w:tr w14:paraId="7BF4BD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37" w:type="dxa"/>
                  <w:tcBorders>
                    <w:bottom w:val="single" w:color="auto" w:sz="12" w:space="0"/>
                  </w:tcBorders>
                  <w:vAlign w:val="center"/>
                </w:tcPr>
                <w:p w14:paraId="6D52E6B0">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场合</w:t>
                  </w:r>
                </w:p>
              </w:tc>
              <w:tc>
                <w:tcPr>
                  <w:tcW w:w="3785" w:type="dxa"/>
                  <w:tcBorders>
                    <w:bottom w:val="single" w:color="auto" w:sz="12" w:space="0"/>
                  </w:tcBorders>
                  <w:vAlign w:val="center"/>
                </w:tcPr>
                <w:p w14:paraId="5D616C8D">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样式</w:t>
                  </w:r>
                </w:p>
              </w:tc>
              <w:tc>
                <w:tcPr>
                  <w:tcW w:w="2761" w:type="dxa"/>
                  <w:tcBorders>
                    <w:bottom w:val="single" w:color="auto" w:sz="12" w:space="0"/>
                  </w:tcBorders>
                  <w:vAlign w:val="center"/>
                </w:tcPr>
                <w:p w14:paraId="5F039E4A">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要求</w:t>
                  </w:r>
                </w:p>
              </w:tc>
            </w:tr>
            <w:tr w14:paraId="5887A1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37" w:type="dxa"/>
                  <w:tcBorders>
                    <w:top w:val="single" w:color="auto" w:sz="12" w:space="0"/>
                    <w:tl2br w:val="nil"/>
                    <w:tr2bl w:val="nil"/>
                  </w:tcBorders>
                  <w:vAlign w:val="center"/>
                </w:tcPr>
                <w:p w14:paraId="57668828">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室外（粘贴于门上或悬挂）</w:t>
                  </w:r>
                </w:p>
              </w:tc>
              <w:tc>
                <w:tcPr>
                  <w:tcW w:w="3785" w:type="dxa"/>
                  <w:tcBorders>
                    <w:top w:val="single" w:color="auto" w:sz="12" w:space="0"/>
                    <w:tl2br w:val="nil"/>
                    <w:tr2bl w:val="nil"/>
                  </w:tcBorders>
                  <w:vAlign w:val="center"/>
                </w:tcPr>
                <w:p w14:paraId="26616E8A">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drawing>
                      <wp:inline distT="0" distB="0" distL="114300" distR="114300">
                        <wp:extent cx="2112010" cy="1438910"/>
                        <wp:effectExtent l="0" t="0" r="2540" b="8890"/>
                        <wp:docPr id="4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pic:cNvPicPr>
                                  <a:picLocks noChangeAspect="1"/>
                                </pic:cNvPicPr>
                              </pic:nvPicPr>
                              <pic:blipFill>
                                <a:blip r:embed="rId28"/>
                                <a:stretch>
                                  <a:fillRect/>
                                </a:stretch>
                              </pic:blipFill>
                              <pic:spPr>
                                <a:xfrm>
                                  <a:off x="0" y="0"/>
                                  <a:ext cx="2112010" cy="1438910"/>
                                </a:xfrm>
                                <a:prstGeom prst="rect">
                                  <a:avLst/>
                                </a:prstGeom>
                                <a:noFill/>
                                <a:ln>
                                  <a:noFill/>
                                </a:ln>
                              </pic:spPr>
                            </pic:pic>
                          </a:graphicData>
                        </a:graphic>
                      </wp:inline>
                    </w:drawing>
                  </w:r>
                </w:p>
              </w:tc>
              <w:tc>
                <w:tcPr>
                  <w:tcW w:w="2761" w:type="dxa"/>
                  <w:tcBorders>
                    <w:top w:val="single" w:color="auto" w:sz="12" w:space="0"/>
                    <w:tl2br w:val="nil"/>
                    <w:tr2bl w:val="nil"/>
                  </w:tcBorders>
                  <w:vAlign w:val="center"/>
                </w:tcPr>
                <w:p w14:paraId="30EE7EAB">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按《危险废物识别标志设置技术规范》（HJ1276-2022）要求设置。</w:t>
                  </w:r>
                </w:p>
              </w:tc>
            </w:tr>
            <w:tr w14:paraId="4D7EE6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37" w:type="dxa"/>
                  <w:tcBorders>
                    <w:tl2br w:val="nil"/>
                    <w:tr2bl w:val="nil"/>
                  </w:tcBorders>
                  <w:vAlign w:val="center"/>
                </w:tcPr>
                <w:p w14:paraId="21722B7A">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粘贴于危废贮存容器</w:t>
                  </w:r>
                </w:p>
              </w:tc>
              <w:tc>
                <w:tcPr>
                  <w:tcW w:w="3785" w:type="dxa"/>
                  <w:tcBorders>
                    <w:tl2br w:val="nil"/>
                    <w:tr2bl w:val="nil"/>
                  </w:tcBorders>
                  <w:vAlign w:val="center"/>
                </w:tcPr>
                <w:p w14:paraId="2A9113A1">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drawing>
                      <wp:inline distT="0" distB="0" distL="114300" distR="114300">
                        <wp:extent cx="2162175" cy="2254885"/>
                        <wp:effectExtent l="0" t="0" r="9525" b="12065"/>
                        <wp:docPr id="4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
                                <pic:cNvPicPr>
                                  <a:picLocks noChangeAspect="1"/>
                                </pic:cNvPicPr>
                              </pic:nvPicPr>
                              <pic:blipFill>
                                <a:blip r:embed="rId29"/>
                                <a:stretch>
                                  <a:fillRect/>
                                </a:stretch>
                              </pic:blipFill>
                              <pic:spPr>
                                <a:xfrm>
                                  <a:off x="0" y="0"/>
                                  <a:ext cx="2162175" cy="2254885"/>
                                </a:xfrm>
                                <a:prstGeom prst="rect">
                                  <a:avLst/>
                                </a:prstGeom>
                                <a:noFill/>
                                <a:ln>
                                  <a:noFill/>
                                </a:ln>
                              </pic:spPr>
                            </pic:pic>
                          </a:graphicData>
                        </a:graphic>
                      </wp:inline>
                    </w:drawing>
                  </w:r>
                </w:p>
              </w:tc>
              <w:tc>
                <w:tcPr>
                  <w:tcW w:w="2761" w:type="dxa"/>
                  <w:tcBorders>
                    <w:tl2br w:val="nil"/>
                    <w:tr2bl w:val="nil"/>
                  </w:tcBorders>
                  <w:vAlign w:val="center"/>
                </w:tcPr>
                <w:p w14:paraId="065530C5">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按《危险废物识别标志设置技术规范》（HJ1276-2022）要求设置。</w:t>
                  </w:r>
                </w:p>
              </w:tc>
            </w:tr>
          </w:tbl>
          <w:p w14:paraId="6FD523B1">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3.2</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排污口监测</w:t>
            </w:r>
          </w:p>
          <w:p w14:paraId="28DBD24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废气、废水排污口要求按照《污染源监测技术规范》设置采样点。</w:t>
            </w:r>
          </w:p>
          <w:p w14:paraId="78BEA495">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3.3</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排污口管理</w:t>
            </w:r>
          </w:p>
          <w:p w14:paraId="0BF3A27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环保主管部门备案。</w:t>
            </w:r>
          </w:p>
          <w:p w14:paraId="4C80CED5">
            <w:pPr>
              <w:bidi w:val="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4、排污许可证</w:t>
            </w:r>
          </w:p>
          <w:p w14:paraId="68FD0538">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根据《固定污染源排污许可分类管理名录》（2019年版），</w:t>
            </w:r>
            <w:r>
              <w:rPr>
                <w:rFonts w:hint="default" w:ascii="Times New Roman" w:hAnsi="Times New Roman" w:cs="Times New Roman"/>
                <w:color w:val="auto"/>
                <w:sz w:val="24"/>
                <w:szCs w:val="24"/>
                <w:highlight w:val="none"/>
                <w:lang w:val="en-US" w:eastAsia="zh-CN"/>
              </w:rPr>
              <w:t>本项目涉及的主要行业具体如下表。</w:t>
            </w:r>
          </w:p>
          <w:p w14:paraId="08E57EEA">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表5-3   排污许可证分类管理表</w:t>
            </w:r>
          </w:p>
          <w:tbl>
            <w:tblPr>
              <w:tblStyle w:val="20"/>
              <w:tblW w:w="765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336"/>
              <w:gridCol w:w="1723"/>
              <w:gridCol w:w="1914"/>
            </w:tblGrid>
            <w:tr w14:paraId="560EA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tcBorders>
                    <w:bottom w:val="single" w:color="auto" w:sz="12" w:space="0"/>
                  </w:tcBorders>
                  <w:vAlign w:val="center"/>
                </w:tcPr>
                <w:p w14:paraId="3D614CAB">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序号</w:t>
                  </w:r>
                </w:p>
              </w:tc>
              <w:tc>
                <w:tcPr>
                  <w:tcW w:w="3336" w:type="dxa"/>
                  <w:tcBorders>
                    <w:bottom w:val="single" w:color="auto" w:sz="12" w:space="0"/>
                  </w:tcBorders>
                  <w:vAlign w:val="center"/>
                </w:tcPr>
                <w:p w14:paraId="0859A32A">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本项目涉及行业类别</w:t>
                  </w:r>
                </w:p>
              </w:tc>
              <w:tc>
                <w:tcPr>
                  <w:tcW w:w="1723" w:type="dxa"/>
                  <w:tcBorders>
                    <w:bottom w:val="single" w:color="auto" w:sz="12" w:space="0"/>
                  </w:tcBorders>
                  <w:vAlign w:val="center"/>
                </w:tcPr>
                <w:p w14:paraId="6FEC6FBB">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分类管理情况</w:t>
                  </w:r>
                </w:p>
              </w:tc>
              <w:tc>
                <w:tcPr>
                  <w:tcW w:w="1914" w:type="dxa"/>
                  <w:tcBorders>
                    <w:bottom w:val="single" w:color="auto" w:sz="12" w:space="0"/>
                  </w:tcBorders>
                  <w:vAlign w:val="center"/>
                </w:tcPr>
                <w:p w14:paraId="6796ABAB">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备注</w:t>
                  </w:r>
                </w:p>
              </w:tc>
            </w:tr>
            <w:tr w14:paraId="69858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tcBorders>
                    <w:top w:val="single" w:color="auto" w:sz="4" w:space="0"/>
                    <w:bottom w:val="single" w:color="auto" w:sz="12" w:space="0"/>
                  </w:tcBorders>
                  <w:vAlign w:val="center"/>
                </w:tcPr>
                <w:p w14:paraId="147AE4C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w:t>
                  </w:r>
                </w:p>
              </w:tc>
              <w:tc>
                <w:tcPr>
                  <w:tcW w:w="3336" w:type="dxa"/>
                  <w:tcBorders>
                    <w:top w:val="single" w:color="auto" w:sz="4" w:space="0"/>
                    <w:bottom w:val="single" w:color="auto" w:sz="12" w:space="0"/>
                  </w:tcBorders>
                  <w:vAlign w:val="center"/>
                </w:tcPr>
                <w:p w14:paraId="304211EE">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96</w:t>
                  </w:r>
                  <w:r>
                    <w:rPr>
                      <w:rFonts w:hint="default" w:ascii="Times New Roman" w:hAnsi="Times New Roman" w:eastAsia="宋体" w:cs="Times New Roman"/>
                      <w:b w:val="0"/>
                      <w:bCs w:val="0"/>
                      <w:color w:val="auto"/>
                      <w:sz w:val="21"/>
                      <w:szCs w:val="21"/>
                      <w:highlight w:val="none"/>
                      <w:lang w:val="en-US" w:eastAsia="zh-CN"/>
                    </w:rPr>
                    <w:t>热力生产和供应443中</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单台合计出力20吨/小时以下的锅炉</w:t>
                  </w:r>
                  <w:r>
                    <w:rPr>
                      <w:rFonts w:hint="default" w:ascii="Times New Roman" w:hAnsi="Times New Roman" w:cs="Times New Roman"/>
                      <w:b w:val="0"/>
                      <w:bCs w:val="0"/>
                      <w:color w:val="auto"/>
                      <w:sz w:val="21"/>
                      <w:szCs w:val="21"/>
                      <w:highlight w:val="none"/>
                      <w:lang w:val="en-US" w:eastAsia="zh-CN"/>
                    </w:rPr>
                    <w:t>”</w:t>
                  </w:r>
                </w:p>
              </w:tc>
              <w:tc>
                <w:tcPr>
                  <w:tcW w:w="1723" w:type="dxa"/>
                  <w:tcBorders>
                    <w:top w:val="single" w:color="auto" w:sz="4" w:space="0"/>
                    <w:bottom w:val="single" w:color="auto" w:sz="12" w:space="0"/>
                  </w:tcBorders>
                  <w:vAlign w:val="center"/>
                </w:tcPr>
                <w:p w14:paraId="3054A470">
                  <w:pPr>
                    <w:pStyle w:val="35"/>
                    <w:keepNext w:val="0"/>
                    <w:keepLines w:val="0"/>
                    <w:suppressLineNumbers w:val="0"/>
                    <w:bidi w:val="0"/>
                    <w:spacing w:before="0" w:beforeAutospacing="0" w:after="0" w:afterAutospacing="0"/>
                    <w:ind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简化管理</w:t>
                  </w:r>
                </w:p>
              </w:tc>
              <w:tc>
                <w:tcPr>
                  <w:tcW w:w="1914" w:type="dxa"/>
                  <w:tcBorders>
                    <w:top w:val="single" w:color="auto" w:sz="4" w:space="0"/>
                    <w:bottom w:val="single" w:color="auto" w:sz="12" w:space="0"/>
                  </w:tcBorders>
                  <w:vAlign w:val="center"/>
                </w:tcPr>
                <w:p w14:paraId="21850407">
                  <w:pPr>
                    <w:pStyle w:val="35"/>
                    <w:keepNext w:val="0"/>
                    <w:keepLines w:val="0"/>
                    <w:suppressLineNumbers w:val="0"/>
                    <w:bidi w:val="0"/>
                    <w:spacing w:before="0" w:beforeAutospacing="0" w:after="0" w:afterAutospacing="0"/>
                    <w:ind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r>
          </w:tbl>
          <w:p w14:paraId="1B0B4FF3">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根据上表可知，本项目应依据相应行业的《排污许可申请与核发技术规范》进行简化管理，</w:t>
            </w:r>
            <w:r>
              <w:rPr>
                <w:rFonts w:hint="default" w:ascii="Times New Roman" w:hAnsi="Times New Roman" w:cs="Times New Roman"/>
                <w:color w:val="auto"/>
                <w:sz w:val="24"/>
                <w:szCs w:val="24"/>
                <w:highlight w:val="none"/>
              </w:rPr>
              <w:t>应在全国排污许可证管理信息平台申报系统中填报相应的信息表。</w:t>
            </w:r>
          </w:p>
          <w:p w14:paraId="1BB63089">
            <w:pPr>
              <w:bidi w:val="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5、环境保护投资</w:t>
            </w:r>
          </w:p>
          <w:p w14:paraId="3F3B52C6">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本项目环保投资包括在废气、废水、噪声及固体废物防治措施的投资。项目</w:t>
            </w:r>
            <w:r>
              <w:rPr>
                <w:rFonts w:hint="default" w:ascii="Times New Roman" w:hAnsi="Times New Roman" w:cs="Times New Roman"/>
                <w:snapToGrid w:val="0"/>
                <w:color w:val="auto"/>
                <w:sz w:val="24"/>
                <w:szCs w:val="24"/>
                <w:highlight w:val="none"/>
                <w:lang w:val="en-US" w:eastAsia="zh-CN"/>
              </w:rPr>
              <w:t>设计总</w:t>
            </w:r>
            <w:r>
              <w:rPr>
                <w:rFonts w:hint="default" w:ascii="Times New Roman" w:hAnsi="Times New Roman" w:eastAsia="宋体" w:cs="Times New Roman"/>
                <w:snapToGrid w:val="0"/>
                <w:color w:val="auto"/>
                <w:sz w:val="24"/>
                <w:szCs w:val="24"/>
                <w:highlight w:val="none"/>
              </w:rPr>
              <w:t>投资</w:t>
            </w:r>
            <w:r>
              <w:rPr>
                <w:rFonts w:hint="default" w:ascii="Times New Roman" w:hAnsi="Times New Roman" w:cs="Times New Roman"/>
                <w:snapToGrid w:val="0"/>
                <w:color w:val="auto"/>
                <w:sz w:val="24"/>
                <w:szCs w:val="24"/>
                <w:highlight w:val="none"/>
                <w:lang w:val="en-US" w:eastAsia="zh-CN"/>
              </w:rPr>
              <w:t>5000万元</w:t>
            </w:r>
            <w:r>
              <w:rPr>
                <w:rFonts w:hint="default" w:ascii="Times New Roman" w:hAnsi="Times New Roman" w:eastAsia="宋体" w:cs="Times New Roman"/>
                <w:snapToGrid w:val="0"/>
                <w:color w:val="auto"/>
                <w:sz w:val="24"/>
                <w:szCs w:val="24"/>
                <w:highlight w:val="none"/>
              </w:rPr>
              <w:t>，其中环保投资</w:t>
            </w:r>
            <w:r>
              <w:rPr>
                <w:rFonts w:hint="eastAsia" w:cs="Times New Roman"/>
                <w:snapToGrid w:val="0"/>
                <w:color w:val="auto"/>
                <w:sz w:val="24"/>
                <w:szCs w:val="24"/>
                <w:highlight w:val="none"/>
                <w:lang w:val="en-US" w:eastAsia="zh-CN"/>
              </w:rPr>
              <w:t>131</w:t>
            </w:r>
            <w:r>
              <w:rPr>
                <w:rFonts w:hint="default" w:ascii="Times New Roman" w:hAnsi="Times New Roman" w:eastAsia="宋体" w:cs="Times New Roman"/>
                <w:snapToGrid w:val="0"/>
                <w:color w:val="auto"/>
                <w:sz w:val="24"/>
                <w:szCs w:val="24"/>
                <w:highlight w:val="none"/>
              </w:rPr>
              <w:t>万元，占投资的</w:t>
            </w:r>
            <w:r>
              <w:rPr>
                <w:rFonts w:hint="eastAsia" w:cs="Times New Roman"/>
                <w:snapToGrid w:val="0"/>
                <w:color w:val="auto"/>
                <w:sz w:val="24"/>
                <w:szCs w:val="24"/>
                <w:highlight w:val="none"/>
                <w:lang w:val="en-US" w:eastAsia="zh-CN"/>
              </w:rPr>
              <w:t>2.62</w:t>
            </w:r>
            <w:r>
              <w:rPr>
                <w:rFonts w:hint="default" w:ascii="Times New Roman" w:hAnsi="Times New Roman" w:eastAsia="宋体" w:cs="Times New Roman"/>
                <w:snapToGrid w:val="0"/>
                <w:color w:val="auto"/>
                <w:sz w:val="24"/>
                <w:szCs w:val="24"/>
                <w:highlight w:val="none"/>
              </w:rPr>
              <w:t>%，本项目环保投资概算见下表。</w:t>
            </w:r>
          </w:p>
          <w:p w14:paraId="5A7807C7">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5-4</w:t>
            </w:r>
            <w:r>
              <w:rPr>
                <w:rFonts w:hint="default" w:ascii="Times New Roman" w:hAnsi="Times New Roman" w:eastAsia="宋体" w:cs="Times New Roman"/>
                <w:b/>
                <w:bCs/>
                <w:color w:val="auto"/>
                <w:sz w:val="21"/>
                <w:szCs w:val="21"/>
                <w:highlight w:val="none"/>
              </w:rPr>
              <w:t xml:space="preserve">   环保投资情况一览表</w:t>
            </w:r>
          </w:p>
          <w:tbl>
            <w:tblPr>
              <w:tblStyle w:val="19"/>
              <w:tblW w:w="7653"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4"/>
              <w:gridCol w:w="1192"/>
              <w:gridCol w:w="4148"/>
              <w:gridCol w:w="1459"/>
            </w:tblGrid>
            <w:tr w14:paraId="3F72FDB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046" w:type="dxa"/>
                  <w:gridSpan w:val="2"/>
                  <w:tcBorders>
                    <w:top w:val="single" w:color="auto" w:sz="12" w:space="0"/>
                    <w:bottom w:val="single" w:color="auto" w:sz="12" w:space="0"/>
                    <w:right w:val="single" w:color="auto" w:sz="2" w:space="0"/>
                  </w:tcBorders>
                  <w:tcMar>
                    <w:left w:w="0" w:type="dxa"/>
                    <w:right w:w="0" w:type="dxa"/>
                  </w:tcMar>
                  <w:vAlign w:val="center"/>
                </w:tcPr>
                <w:p w14:paraId="0F1DD46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w:t>
                  </w:r>
                </w:p>
              </w:tc>
              <w:tc>
                <w:tcPr>
                  <w:tcW w:w="4148" w:type="dxa"/>
                  <w:tcBorders>
                    <w:top w:val="single" w:color="auto" w:sz="12" w:space="0"/>
                    <w:left w:val="single" w:color="auto" w:sz="2" w:space="0"/>
                    <w:bottom w:val="single" w:color="auto" w:sz="12" w:space="0"/>
                    <w:right w:val="single" w:color="auto" w:sz="2" w:space="0"/>
                  </w:tcBorders>
                  <w:tcMar>
                    <w:left w:w="0" w:type="dxa"/>
                    <w:right w:w="0" w:type="dxa"/>
                  </w:tcMar>
                  <w:vAlign w:val="center"/>
                </w:tcPr>
                <w:p w14:paraId="6DB113B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治理措施</w:t>
                  </w:r>
                </w:p>
              </w:tc>
              <w:tc>
                <w:tcPr>
                  <w:tcW w:w="1459" w:type="dxa"/>
                  <w:tcBorders>
                    <w:top w:val="single" w:color="auto" w:sz="12" w:space="0"/>
                    <w:left w:val="single" w:color="auto" w:sz="2" w:space="0"/>
                    <w:bottom w:val="single" w:color="auto" w:sz="12" w:space="0"/>
                  </w:tcBorders>
                  <w:tcMar>
                    <w:left w:w="0" w:type="dxa"/>
                    <w:right w:w="0" w:type="dxa"/>
                  </w:tcMar>
                  <w:vAlign w:val="center"/>
                </w:tcPr>
                <w:p w14:paraId="3055BD4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投资（万元）</w:t>
                  </w:r>
                </w:p>
              </w:tc>
            </w:tr>
            <w:tr w14:paraId="6AF5CE5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vMerge w:val="restart"/>
                  <w:tcBorders>
                    <w:top w:val="single" w:color="auto" w:sz="12" w:space="0"/>
                    <w:right w:val="single" w:color="auto" w:sz="2" w:space="0"/>
                  </w:tcBorders>
                  <w:tcMar>
                    <w:left w:w="0" w:type="dxa"/>
                    <w:right w:w="0" w:type="dxa"/>
                  </w:tcMar>
                  <w:vAlign w:val="center"/>
                </w:tcPr>
                <w:p w14:paraId="0D5D9D6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废气</w:t>
                  </w:r>
                </w:p>
              </w:tc>
              <w:tc>
                <w:tcPr>
                  <w:tcW w:w="1192" w:type="dxa"/>
                  <w:vMerge w:val="restart"/>
                  <w:tcBorders>
                    <w:top w:val="single" w:color="auto" w:sz="12" w:space="0"/>
                    <w:left w:val="single" w:color="auto" w:sz="2" w:space="0"/>
                    <w:bottom w:val="single" w:color="auto" w:sz="2" w:space="0"/>
                    <w:right w:val="single" w:color="auto" w:sz="2" w:space="0"/>
                  </w:tcBorders>
                  <w:tcMar>
                    <w:left w:w="0" w:type="dxa"/>
                    <w:right w:w="0" w:type="dxa"/>
                  </w:tcMar>
                  <w:vAlign w:val="center"/>
                </w:tcPr>
                <w:p w14:paraId="3966201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生物质热风炉</w:t>
                  </w:r>
                </w:p>
              </w:tc>
              <w:tc>
                <w:tcPr>
                  <w:tcW w:w="4148" w:type="dxa"/>
                  <w:tcBorders>
                    <w:top w:val="single" w:color="auto" w:sz="12" w:space="0"/>
                    <w:left w:val="single" w:color="auto" w:sz="2" w:space="0"/>
                    <w:bottom w:val="single" w:color="auto" w:sz="2" w:space="0"/>
                    <w:right w:val="single" w:color="auto" w:sz="2" w:space="0"/>
                  </w:tcBorders>
                  <w:shd w:val="clear" w:color="auto" w:fill="auto"/>
                  <w:tcMar>
                    <w:left w:w="0" w:type="dxa"/>
                    <w:right w:w="0" w:type="dxa"/>
                  </w:tcMar>
                  <w:vAlign w:val="center"/>
                </w:tcPr>
                <w:p w14:paraId="3CFB75C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陶瓷多管</w:t>
                  </w:r>
                  <w:r>
                    <w:rPr>
                      <w:rFonts w:hint="eastAsia" w:ascii="Times New Roman" w:hAnsi="Times New Roman" w:cs="Times New Roman"/>
                      <w:b w:val="0"/>
                      <w:bCs w:val="0"/>
                      <w:color w:val="auto"/>
                      <w:sz w:val="21"/>
                      <w:szCs w:val="21"/>
                      <w:highlight w:val="none"/>
                      <w:lang w:val="en-US" w:eastAsia="zh-CN"/>
                    </w:rPr>
                    <w:t>+布袋</w:t>
                  </w:r>
                  <w:r>
                    <w:rPr>
                      <w:rFonts w:hint="default" w:ascii="Times New Roman" w:hAnsi="Times New Roman" w:cs="Times New Roman"/>
                      <w:b w:val="0"/>
                      <w:bCs w:val="0"/>
                      <w:color w:val="auto"/>
                      <w:sz w:val="21"/>
                      <w:szCs w:val="21"/>
                      <w:highlight w:val="none"/>
                      <w:lang w:val="en-US" w:eastAsia="zh-CN"/>
                    </w:rPr>
                    <w:t>除尘</w:t>
                  </w:r>
                  <w:r>
                    <w:rPr>
                      <w:rFonts w:hint="default" w:ascii="Times New Roman" w:hAnsi="Times New Roman" w:cs="Times New Roman"/>
                      <w:b w:val="0"/>
                      <w:bCs w:val="0"/>
                      <w:color w:val="auto"/>
                      <w:sz w:val="21"/>
                      <w:szCs w:val="21"/>
                      <w:highlight w:val="none"/>
                    </w:rPr>
                    <w:t>器</w:t>
                  </w:r>
                  <w:r>
                    <w:rPr>
                      <w:rFonts w:hint="default" w:ascii="Times New Roman" w:hAnsi="Times New Roman" w:cs="Times New Roman"/>
                      <w:b w:val="0"/>
                      <w:bCs w:val="0"/>
                      <w:color w:val="auto"/>
                      <w:sz w:val="21"/>
                      <w:szCs w:val="21"/>
                      <w:highlight w:val="none"/>
                      <w:lang w:val="en-US" w:eastAsia="zh-CN"/>
                    </w:rPr>
                    <w:t>2套</w:t>
                  </w:r>
                </w:p>
              </w:tc>
              <w:tc>
                <w:tcPr>
                  <w:tcW w:w="1459" w:type="dxa"/>
                  <w:tcBorders>
                    <w:top w:val="single" w:color="auto" w:sz="12" w:space="0"/>
                    <w:left w:val="single" w:color="auto" w:sz="2" w:space="0"/>
                    <w:bottom w:val="single" w:color="auto" w:sz="2" w:space="0"/>
                  </w:tcBorders>
                  <w:shd w:val="clear" w:color="auto" w:fill="auto"/>
                  <w:tcMar>
                    <w:left w:w="0" w:type="dxa"/>
                    <w:right w:w="0" w:type="dxa"/>
                  </w:tcMar>
                  <w:vAlign w:val="center"/>
                </w:tcPr>
                <w:p w14:paraId="6CCD19B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2</w:t>
                  </w:r>
                  <w:r>
                    <w:rPr>
                      <w:rFonts w:hint="default" w:ascii="Times New Roman" w:hAnsi="Times New Roman" w:cs="Times New Roman"/>
                      <w:b w:val="0"/>
                      <w:bCs w:val="0"/>
                      <w:color w:val="auto"/>
                      <w:sz w:val="21"/>
                      <w:szCs w:val="21"/>
                      <w:highlight w:val="none"/>
                      <w:lang w:val="en-US" w:eastAsia="zh-CN"/>
                    </w:rPr>
                    <w:t>6</w:t>
                  </w:r>
                </w:p>
              </w:tc>
            </w:tr>
            <w:tr w14:paraId="161355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vMerge w:val="continue"/>
                  <w:tcBorders>
                    <w:right w:val="single" w:color="auto" w:sz="2" w:space="0"/>
                  </w:tcBorders>
                  <w:tcMar>
                    <w:left w:w="0" w:type="dxa"/>
                    <w:right w:w="0" w:type="dxa"/>
                  </w:tcMar>
                  <w:vAlign w:val="center"/>
                </w:tcPr>
                <w:p w14:paraId="085C637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1192" w:type="dxa"/>
                  <w:vMerge w:val="continue"/>
                  <w:tcBorders>
                    <w:top w:val="single" w:color="auto" w:sz="2" w:space="0"/>
                    <w:left w:val="single" w:color="auto" w:sz="2" w:space="0"/>
                    <w:bottom w:val="single" w:color="auto" w:sz="2" w:space="0"/>
                    <w:right w:val="single" w:color="auto" w:sz="2" w:space="0"/>
                  </w:tcBorders>
                  <w:tcMar>
                    <w:left w:w="0" w:type="dxa"/>
                    <w:right w:w="0" w:type="dxa"/>
                  </w:tcMar>
                  <w:vAlign w:val="center"/>
                </w:tcPr>
                <w:p w14:paraId="1A2DCD5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5C1ACF0C">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bookmarkStart w:id="123" w:name="hmcheck_d859b0f5f859409e9d9b681e0d831c56"/>
                  <w:r>
                    <w:rPr>
                      <w:rFonts w:hint="default" w:ascii="Times New Roman" w:hAnsi="Times New Roman" w:cs="Times New Roman"/>
                      <w:b w:val="0"/>
                      <w:bCs w:val="0"/>
                      <w:color w:val="auto"/>
                      <w:sz w:val="21"/>
                      <w:szCs w:val="21"/>
                      <w:highlight w:val="none"/>
                      <w:lang w:val="en-US" w:eastAsia="zh-CN"/>
                    </w:rPr>
                    <w:t>钙钠</w:t>
                  </w:r>
                  <w:bookmarkEnd w:id="123"/>
                  <w:r>
                    <w:rPr>
                      <w:rFonts w:hint="default" w:ascii="Times New Roman" w:hAnsi="Times New Roman" w:cs="Times New Roman"/>
                      <w:b w:val="0"/>
                      <w:bCs w:val="0"/>
                      <w:color w:val="auto"/>
                      <w:sz w:val="21"/>
                      <w:szCs w:val="21"/>
                      <w:highlight w:val="none"/>
                      <w:lang w:val="en-US" w:eastAsia="zh-CN"/>
                    </w:rPr>
                    <w:t>双碱法脱硫设备+</w:t>
                  </w:r>
                  <w:r>
                    <w:rPr>
                      <w:rFonts w:hint="eastAsia" w:ascii="Times New Roman" w:hAnsi="Times New Roman" w:cs="Times New Roman"/>
                      <w:b w:val="0"/>
                      <w:bCs w:val="0"/>
                      <w:color w:val="auto"/>
                      <w:sz w:val="21"/>
                      <w:szCs w:val="21"/>
                      <w:highlight w:val="none"/>
                      <w:lang w:val="en-US" w:eastAsia="zh-CN"/>
                    </w:rPr>
                    <w:t>15</w:t>
                  </w:r>
                  <w:r>
                    <w:rPr>
                      <w:rFonts w:hint="default" w:ascii="Times New Roman" w:hAnsi="Times New Roman" w:cs="Times New Roman"/>
                      <w:b w:val="0"/>
                      <w:bCs w:val="0"/>
                      <w:color w:val="auto"/>
                      <w:sz w:val="21"/>
                      <w:szCs w:val="21"/>
                      <w:highlight w:val="none"/>
                      <w:lang w:val="en-US" w:eastAsia="zh-CN"/>
                    </w:rPr>
                    <w:t>m高排气筒2套</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1F6B22B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rPr>
                    <w:t>30</w:t>
                  </w:r>
                </w:p>
              </w:tc>
            </w:tr>
            <w:tr w14:paraId="56959F7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vMerge w:val="continue"/>
                  <w:tcBorders>
                    <w:right w:val="single" w:color="auto" w:sz="2" w:space="0"/>
                  </w:tcBorders>
                  <w:tcMar>
                    <w:left w:w="0" w:type="dxa"/>
                    <w:right w:w="0" w:type="dxa"/>
                  </w:tcMar>
                  <w:vAlign w:val="center"/>
                </w:tcPr>
                <w:p w14:paraId="401909C3">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1192" w:type="dxa"/>
                  <w:tcBorders>
                    <w:top w:val="single" w:color="auto" w:sz="2" w:space="0"/>
                    <w:left w:val="single" w:color="auto" w:sz="2" w:space="0"/>
                    <w:right w:val="single" w:color="auto" w:sz="2" w:space="0"/>
                  </w:tcBorders>
                  <w:tcMar>
                    <w:left w:w="0" w:type="dxa"/>
                    <w:right w:w="0" w:type="dxa"/>
                  </w:tcMar>
                  <w:vAlign w:val="center"/>
                </w:tcPr>
                <w:p w14:paraId="22F1148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无组织粉尘</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1B65D63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卸粮口</w:t>
                  </w:r>
                  <w:r>
                    <w:rPr>
                      <w:rFonts w:hint="eastAsia"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进料口处设置密闭罩</w:t>
                  </w:r>
                  <w:r>
                    <w:rPr>
                      <w:rFonts w:hint="eastAsia"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输送环节设置</w:t>
                  </w:r>
                  <w:r>
                    <w:rPr>
                      <w:rFonts w:hint="default" w:ascii="Times New Roman" w:hAnsi="Times New Roman" w:cs="Times New Roman"/>
                      <w:b w:val="0"/>
                      <w:bCs w:val="0"/>
                      <w:color w:val="auto"/>
                      <w:sz w:val="21"/>
                      <w:szCs w:val="21"/>
                      <w:highlight w:val="none"/>
                    </w:rPr>
                    <w:t>密闭廊道</w:t>
                  </w:r>
                  <w:r>
                    <w:rPr>
                      <w:rFonts w:hint="eastAsia" w:ascii="Times New Roman" w:hAnsi="Times New Roman"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lang w:val="en-US" w:eastAsia="zh-CN"/>
                    </w:rPr>
                    <w:t>密闭筛分；</w:t>
                  </w:r>
                  <w:r>
                    <w:rPr>
                      <w:rFonts w:hint="default" w:ascii="Times New Roman" w:hAnsi="Times New Roman" w:eastAsia="宋体" w:cs="Times New Roman"/>
                      <w:b w:val="0"/>
                      <w:bCs w:val="0"/>
                      <w:color w:val="auto"/>
                      <w:spacing w:val="12"/>
                      <w:sz w:val="21"/>
                      <w:szCs w:val="21"/>
                      <w:highlight w:val="none"/>
                      <w:lang w:val="en-US" w:eastAsia="zh-CN"/>
                    </w:rPr>
                    <w:t>烘干车间封闭作业，车间内加强通风，定期洒水清扫</w:t>
                  </w:r>
                  <w:r>
                    <w:rPr>
                      <w:rFonts w:hint="eastAsia" w:cs="Times New Roman"/>
                      <w:b w:val="0"/>
                      <w:bCs w:val="0"/>
                      <w:color w:val="auto"/>
                      <w:spacing w:val="12"/>
                      <w:sz w:val="21"/>
                      <w:szCs w:val="21"/>
                      <w:highlight w:val="none"/>
                      <w:lang w:val="en-US" w:eastAsia="zh-CN"/>
                    </w:rPr>
                    <w:t>；设置封闭燃料库房和灰渣库房；</w:t>
                  </w:r>
                  <w:r>
                    <w:rPr>
                      <w:rFonts w:hint="default" w:ascii="Times New Roman" w:hAnsi="Times New Roman" w:eastAsia="宋体" w:cs="Times New Roman"/>
                      <w:b w:val="0"/>
                      <w:bCs w:val="0"/>
                      <w:color w:val="auto"/>
                      <w:spacing w:val="12"/>
                      <w:sz w:val="21"/>
                      <w:szCs w:val="21"/>
                      <w:highlight w:val="none"/>
                      <w:lang w:val="en-US" w:eastAsia="zh-CN"/>
                    </w:rPr>
                    <w:t>无组织粉尘自然沉降</w:t>
                  </w:r>
                  <w:r>
                    <w:rPr>
                      <w:rFonts w:hint="eastAsia" w:cs="Times New Roman"/>
                      <w:b w:val="0"/>
                      <w:bCs w:val="0"/>
                      <w:color w:val="auto"/>
                      <w:spacing w:val="12"/>
                      <w:sz w:val="21"/>
                      <w:szCs w:val="21"/>
                      <w:highlight w:val="none"/>
                      <w:lang w:val="en-US" w:eastAsia="zh-CN"/>
                    </w:rPr>
                    <w:t>等措施</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256A1C4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20</w:t>
                  </w:r>
                </w:p>
              </w:tc>
            </w:tr>
            <w:tr w14:paraId="03D839F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tcBorders>
                    <w:top w:val="single" w:color="auto" w:sz="2" w:space="0"/>
                    <w:bottom w:val="single" w:color="auto" w:sz="2" w:space="0"/>
                    <w:right w:val="single" w:color="auto" w:sz="2" w:space="0"/>
                  </w:tcBorders>
                  <w:tcMar>
                    <w:left w:w="0" w:type="dxa"/>
                    <w:right w:w="0" w:type="dxa"/>
                  </w:tcMar>
                  <w:vAlign w:val="center"/>
                </w:tcPr>
                <w:p w14:paraId="11BA93D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废水</w:t>
                  </w: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2F5CD74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生产废水</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63AD8B42">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生产废水处理和循环利用系统、化粪池</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29EB3E5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1</w:t>
                  </w:r>
                  <w:r>
                    <w:rPr>
                      <w:rFonts w:hint="default" w:ascii="Times New Roman" w:hAnsi="Times New Roman" w:cs="Times New Roman"/>
                      <w:b w:val="0"/>
                      <w:bCs w:val="0"/>
                      <w:color w:val="auto"/>
                      <w:sz w:val="21"/>
                      <w:szCs w:val="21"/>
                      <w:highlight w:val="none"/>
                      <w:lang w:val="en-US" w:eastAsia="zh-CN"/>
                    </w:rPr>
                    <w:t>0</w:t>
                  </w:r>
                </w:p>
              </w:tc>
            </w:tr>
            <w:tr w14:paraId="66226E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vMerge w:val="restart"/>
                  <w:tcBorders>
                    <w:top w:val="single" w:color="auto" w:sz="2" w:space="0"/>
                    <w:bottom w:val="single" w:color="auto" w:sz="2" w:space="0"/>
                    <w:right w:val="single" w:color="auto" w:sz="2" w:space="0"/>
                  </w:tcBorders>
                  <w:tcMar>
                    <w:left w:w="0" w:type="dxa"/>
                    <w:right w:w="0" w:type="dxa"/>
                  </w:tcMar>
                  <w:vAlign w:val="center"/>
                </w:tcPr>
                <w:p w14:paraId="0DF390B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噪声</w:t>
                  </w: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7600D78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提升机、风机</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5C2AA84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风机口加清声器+减振基础+隔声罩</w:t>
                  </w:r>
                </w:p>
              </w:tc>
              <w:tc>
                <w:tcPr>
                  <w:tcW w:w="1459" w:type="dxa"/>
                  <w:vMerge w:val="restart"/>
                  <w:tcBorders>
                    <w:top w:val="single" w:color="auto" w:sz="2" w:space="0"/>
                    <w:left w:val="single" w:color="auto" w:sz="2" w:space="0"/>
                    <w:bottom w:val="single" w:color="auto" w:sz="2" w:space="0"/>
                  </w:tcBorders>
                  <w:tcMar>
                    <w:left w:w="0" w:type="dxa"/>
                    <w:right w:w="0" w:type="dxa"/>
                  </w:tcMar>
                  <w:vAlign w:val="center"/>
                </w:tcPr>
                <w:p w14:paraId="5BCF192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10</w:t>
                  </w:r>
                </w:p>
              </w:tc>
            </w:tr>
            <w:tr w14:paraId="7196B8F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vMerge w:val="continue"/>
                  <w:tcBorders>
                    <w:top w:val="single" w:color="auto" w:sz="2" w:space="0"/>
                    <w:bottom w:val="single" w:color="auto" w:sz="2" w:space="0"/>
                    <w:right w:val="single" w:color="auto" w:sz="2" w:space="0"/>
                  </w:tcBorders>
                  <w:tcMar>
                    <w:left w:w="0" w:type="dxa"/>
                    <w:right w:w="0" w:type="dxa"/>
                  </w:tcMar>
                  <w:vAlign w:val="center"/>
                </w:tcPr>
                <w:p w14:paraId="3B25285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718C5FE4">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各类泵</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5C1E18C7">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zh-CN"/>
                    </w:rPr>
                  </w:pPr>
                  <w:r>
                    <w:rPr>
                      <w:rFonts w:hint="default" w:ascii="Times New Roman" w:hAnsi="Times New Roman" w:cs="Times New Roman"/>
                      <w:b w:val="0"/>
                      <w:bCs w:val="0"/>
                      <w:color w:val="auto"/>
                      <w:sz w:val="21"/>
                      <w:szCs w:val="21"/>
                      <w:highlight w:val="none"/>
                    </w:rPr>
                    <w:t>电机隔音罩+减振基础</w:t>
                  </w:r>
                </w:p>
              </w:tc>
              <w:tc>
                <w:tcPr>
                  <w:tcW w:w="1459" w:type="dxa"/>
                  <w:vMerge w:val="continue"/>
                  <w:tcBorders>
                    <w:top w:val="single" w:color="auto" w:sz="2" w:space="0"/>
                    <w:left w:val="single" w:color="auto" w:sz="2" w:space="0"/>
                    <w:bottom w:val="single" w:color="auto" w:sz="2" w:space="0"/>
                  </w:tcBorders>
                  <w:tcMar>
                    <w:left w:w="0" w:type="dxa"/>
                    <w:right w:w="0" w:type="dxa"/>
                  </w:tcMar>
                  <w:vAlign w:val="center"/>
                </w:tcPr>
                <w:p w14:paraId="02908BA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p>
              </w:tc>
            </w:tr>
            <w:tr w14:paraId="21B45C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tcBorders>
                    <w:top w:val="single" w:color="auto" w:sz="2" w:space="0"/>
                    <w:bottom w:val="single" w:color="auto" w:sz="2" w:space="0"/>
                    <w:right w:val="single" w:color="auto" w:sz="2" w:space="0"/>
                  </w:tcBorders>
                  <w:tcMar>
                    <w:left w:w="0" w:type="dxa"/>
                    <w:right w:w="0" w:type="dxa"/>
                  </w:tcMar>
                  <w:vAlign w:val="center"/>
                </w:tcPr>
                <w:p w14:paraId="156375C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bookmarkStart w:id="124" w:name="hmcheck_64002acd1bb54be0b41d9cab938d29a4"/>
                  <w:r>
                    <w:rPr>
                      <w:rFonts w:hint="default" w:ascii="Times New Roman" w:hAnsi="Times New Roman" w:cs="Times New Roman"/>
                      <w:b w:val="0"/>
                      <w:bCs w:val="0"/>
                      <w:color w:val="auto"/>
                      <w:sz w:val="21"/>
                      <w:szCs w:val="21"/>
                      <w:highlight w:val="none"/>
                    </w:rPr>
                    <w:t>固</w:t>
                  </w:r>
                  <w:bookmarkEnd w:id="124"/>
                  <w:r>
                    <w:rPr>
                      <w:rFonts w:hint="default" w:ascii="Times New Roman" w:hAnsi="Times New Roman" w:cs="Times New Roman"/>
                      <w:b w:val="0"/>
                      <w:bCs w:val="0"/>
                      <w:color w:val="auto"/>
                      <w:sz w:val="21"/>
                      <w:szCs w:val="21"/>
                      <w:highlight w:val="none"/>
                    </w:rPr>
                    <w:t>废</w:t>
                  </w: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7774655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zh-CN"/>
                    </w:rPr>
                  </w:pPr>
                  <w:r>
                    <w:rPr>
                      <w:rFonts w:hint="default" w:ascii="Times New Roman" w:hAnsi="Times New Roman" w:cs="Times New Roman"/>
                      <w:b w:val="0"/>
                      <w:bCs w:val="0"/>
                      <w:color w:val="auto"/>
                      <w:sz w:val="21"/>
                      <w:szCs w:val="21"/>
                      <w:highlight w:val="none"/>
                      <w:lang w:val="zh-CN"/>
                    </w:rPr>
                    <w:t>生活垃圾</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309F592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生活垃圾收集箱</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危险废物暂存间</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77B806B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5</w:t>
                  </w:r>
                </w:p>
              </w:tc>
            </w:tr>
            <w:tr w14:paraId="282838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4" w:type="dxa"/>
                  <w:tcBorders>
                    <w:top w:val="single" w:color="auto" w:sz="2" w:space="0"/>
                    <w:bottom w:val="single" w:color="auto" w:sz="2" w:space="0"/>
                    <w:right w:val="single" w:color="auto" w:sz="2" w:space="0"/>
                  </w:tcBorders>
                  <w:tcMar>
                    <w:left w:w="0" w:type="dxa"/>
                    <w:right w:w="0" w:type="dxa"/>
                  </w:tcMar>
                  <w:vAlign w:val="center"/>
                </w:tcPr>
                <w:p w14:paraId="77AB19B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生态</w:t>
                  </w: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190E0CB6">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绿化带</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4773DFBB">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厂区西侧种植5m宽的阔叶绿化带</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7E959230">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15</w:t>
                  </w:r>
                </w:p>
              </w:tc>
            </w:tr>
            <w:tr w14:paraId="4F88FD0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4" w:type="dxa"/>
                  <w:tcBorders>
                    <w:top w:val="single" w:color="auto" w:sz="2" w:space="0"/>
                    <w:bottom w:val="single" w:color="auto" w:sz="2" w:space="0"/>
                    <w:right w:val="single" w:color="auto" w:sz="2" w:space="0"/>
                  </w:tcBorders>
                  <w:tcMar>
                    <w:left w:w="0" w:type="dxa"/>
                    <w:right w:w="0" w:type="dxa"/>
                  </w:tcMar>
                  <w:vAlign w:val="center"/>
                </w:tcPr>
                <w:p w14:paraId="43A7108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其他</w:t>
                  </w:r>
                </w:p>
              </w:tc>
              <w:tc>
                <w:tcPr>
                  <w:tcW w:w="1192"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27A5F64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t>
                  </w:r>
                </w:p>
              </w:tc>
              <w:tc>
                <w:tcPr>
                  <w:tcW w:w="4148" w:type="dxa"/>
                  <w:tcBorders>
                    <w:top w:val="single" w:color="auto" w:sz="2" w:space="0"/>
                    <w:left w:val="single" w:color="auto" w:sz="2" w:space="0"/>
                    <w:bottom w:val="single" w:color="auto" w:sz="2" w:space="0"/>
                    <w:right w:val="single" w:color="auto" w:sz="2" w:space="0"/>
                  </w:tcBorders>
                  <w:tcMar>
                    <w:left w:w="0" w:type="dxa"/>
                    <w:right w:w="0" w:type="dxa"/>
                  </w:tcMar>
                  <w:vAlign w:val="center"/>
                </w:tcPr>
                <w:p w14:paraId="1633344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环评、环境监理、环境监测、竣工验收等</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6653F8B8">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rPr>
                    <w:t>5</w:t>
                  </w:r>
                </w:p>
              </w:tc>
            </w:tr>
            <w:tr w14:paraId="690B23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194" w:type="dxa"/>
                  <w:gridSpan w:val="3"/>
                  <w:tcBorders>
                    <w:top w:val="single" w:color="auto" w:sz="2" w:space="0"/>
                    <w:bottom w:val="single" w:color="auto" w:sz="2" w:space="0"/>
                    <w:right w:val="single" w:color="auto" w:sz="2" w:space="0"/>
                  </w:tcBorders>
                  <w:tcMar>
                    <w:left w:w="0" w:type="dxa"/>
                    <w:right w:w="0" w:type="dxa"/>
                  </w:tcMar>
                  <w:vAlign w:val="center"/>
                </w:tcPr>
                <w:p w14:paraId="0737873D">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环保投资</w:t>
                  </w:r>
                  <w:r>
                    <w:rPr>
                      <w:rFonts w:hint="default" w:ascii="Times New Roman" w:hAnsi="Times New Roman" w:cs="Times New Roman"/>
                      <w:b w:val="0"/>
                      <w:bCs w:val="0"/>
                      <w:color w:val="auto"/>
                      <w:sz w:val="21"/>
                      <w:szCs w:val="21"/>
                      <w:highlight w:val="none"/>
                    </w:rPr>
                    <w:t>合计</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3F4D8AFF">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131</w:t>
                  </w:r>
                </w:p>
              </w:tc>
            </w:tr>
            <w:tr w14:paraId="2B6B43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194" w:type="dxa"/>
                  <w:gridSpan w:val="3"/>
                  <w:tcBorders>
                    <w:top w:val="single" w:color="auto" w:sz="2" w:space="0"/>
                    <w:bottom w:val="single" w:color="auto" w:sz="2" w:space="0"/>
                    <w:right w:val="single" w:color="auto" w:sz="2" w:space="0"/>
                  </w:tcBorders>
                  <w:tcMar>
                    <w:left w:w="0" w:type="dxa"/>
                    <w:right w:w="0" w:type="dxa"/>
                  </w:tcMar>
                  <w:vAlign w:val="center"/>
                </w:tcPr>
                <w:p w14:paraId="170903A5">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项目总投资</w:t>
                  </w:r>
                </w:p>
              </w:tc>
              <w:tc>
                <w:tcPr>
                  <w:tcW w:w="1459" w:type="dxa"/>
                  <w:tcBorders>
                    <w:top w:val="single" w:color="auto" w:sz="2" w:space="0"/>
                    <w:left w:val="single" w:color="auto" w:sz="2" w:space="0"/>
                    <w:bottom w:val="single" w:color="auto" w:sz="2" w:space="0"/>
                  </w:tcBorders>
                  <w:tcMar>
                    <w:left w:w="0" w:type="dxa"/>
                    <w:right w:w="0" w:type="dxa"/>
                  </w:tcMar>
                  <w:vAlign w:val="center"/>
                </w:tcPr>
                <w:p w14:paraId="0F0359D1">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5000</w:t>
                  </w:r>
                </w:p>
              </w:tc>
            </w:tr>
            <w:tr w14:paraId="14863E7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194" w:type="dxa"/>
                  <w:gridSpan w:val="3"/>
                  <w:tcBorders>
                    <w:top w:val="single" w:color="auto" w:sz="2" w:space="0"/>
                    <w:bottom w:val="single" w:color="auto" w:sz="12" w:space="0"/>
                    <w:right w:val="single" w:color="auto" w:sz="2" w:space="0"/>
                  </w:tcBorders>
                  <w:tcMar>
                    <w:left w:w="0" w:type="dxa"/>
                    <w:right w:w="0" w:type="dxa"/>
                  </w:tcMar>
                  <w:vAlign w:val="center"/>
                </w:tcPr>
                <w:p w14:paraId="18B481CE">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环保投资占比</w:t>
                  </w:r>
                </w:p>
              </w:tc>
              <w:tc>
                <w:tcPr>
                  <w:tcW w:w="1459" w:type="dxa"/>
                  <w:tcBorders>
                    <w:top w:val="single" w:color="auto" w:sz="2" w:space="0"/>
                    <w:left w:val="single" w:color="auto" w:sz="2" w:space="0"/>
                    <w:bottom w:val="single" w:color="auto" w:sz="12" w:space="0"/>
                  </w:tcBorders>
                  <w:tcMar>
                    <w:left w:w="0" w:type="dxa"/>
                    <w:right w:w="0" w:type="dxa"/>
                  </w:tcMar>
                  <w:vAlign w:val="center"/>
                </w:tcPr>
                <w:p w14:paraId="60D3B2F9">
                  <w:pPr>
                    <w:pStyle w:val="3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2.62</w:t>
                  </w:r>
                  <w:r>
                    <w:rPr>
                      <w:rFonts w:hint="default" w:ascii="Times New Roman" w:hAnsi="Times New Roman" w:cs="Times New Roman"/>
                      <w:b w:val="0"/>
                      <w:bCs w:val="0"/>
                      <w:color w:val="auto"/>
                      <w:sz w:val="21"/>
                      <w:szCs w:val="21"/>
                      <w:highlight w:val="none"/>
                      <w:lang w:val="en-US" w:eastAsia="zh-CN"/>
                    </w:rPr>
                    <w:t>%</w:t>
                  </w:r>
                </w:p>
              </w:tc>
            </w:tr>
          </w:tbl>
          <w:p w14:paraId="4034F624">
            <w:pPr>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  </w:t>
            </w:r>
          </w:p>
          <w:p w14:paraId="18D4D6C4">
            <w:pPr>
              <w:bidi w:val="0"/>
              <w:rPr>
                <w:rFonts w:hint="default" w:ascii="Times New Roman" w:hAnsi="Times New Roman" w:cs="Times New Roman"/>
                <w:color w:val="auto"/>
                <w:sz w:val="24"/>
                <w:szCs w:val="24"/>
                <w:highlight w:val="none"/>
                <w:lang w:val="en-US" w:eastAsia="zh-CN"/>
              </w:rPr>
            </w:pPr>
          </w:p>
          <w:p w14:paraId="78B98F16">
            <w:pPr>
              <w:bidi w:val="0"/>
              <w:rPr>
                <w:rFonts w:hint="default" w:ascii="Times New Roman" w:hAnsi="Times New Roman" w:cs="Times New Roman"/>
                <w:color w:val="auto"/>
                <w:sz w:val="24"/>
                <w:szCs w:val="24"/>
                <w:highlight w:val="none"/>
                <w:lang w:val="en-US" w:eastAsia="zh-CN"/>
              </w:rPr>
            </w:pPr>
          </w:p>
          <w:p w14:paraId="7DE7BD5C">
            <w:pPr>
              <w:bidi w:val="0"/>
              <w:rPr>
                <w:rFonts w:hint="default" w:ascii="Times New Roman" w:hAnsi="Times New Roman" w:cs="Times New Roman"/>
                <w:color w:val="auto"/>
                <w:sz w:val="24"/>
                <w:szCs w:val="24"/>
                <w:highlight w:val="none"/>
                <w:lang w:val="en-US" w:eastAsia="zh-CN"/>
              </w:rPr>
            </w:pPr>
          </w:p>
          <w:p w14:paraId="4A46DD5D">
            <w:pPr>
              <w:bidi w:val="0"/>
              <w:rPr>
                <w:rFonts w:hint="default" w:ascii="Times New Roman" w:hAnsi="Times New Roman" w:cs="Times New Roman"/>
                <w:color w:val="auto"/>
                <w:sz w:val="24"/>
                <w:szCs w:val="24"/>
                <w:highlight w:val="none"/>
                <w:lang w:val="en-US" w:eastAsia="zh-CN"/>
              </w:rPr>
            </w:pPr>
          </w:p>
          <w:p w14:paraId="368E7158">
            <w:pPr>
              <w:bidi w:val="0"/>
              <w:rPr>
                <w:rFonts w:hint="default" w:ascii="Times New Roman" w:hAnsi="Times New Roman" w:cs="Times New Roman"/>
                <w:color w:val="auto"/>
                <w:sz w:val="24"/>
                <w:szCs w:val="24"/>
                <w:highlight w:val="none"/>
                <w:lang w:val="en-US" w:eastAsia="zh-CN"/>
              </w:rPr>
            </w:pPr>
          </w:p>
          <w:p w14:paraId="3A6CD9B4">
            <w:pPr>
              <w:bidi w:val="0"/>
              <w:rPr>
                <w:rFonts w:hint="default" w:ascii="Times New Roman" w:hAnsi="Times New Roman" w:cs="Times New Roman"/>
                <w:color w:val="auto"/>
                <w:sz w:val="24"/>
                <w:szCs w:val="24"/>
                <w:highlight w:val="none"/>
                <w:lang w:val="en-US" w:eastAsia="zh-CN"/>
              </w:rPr>
            </w:pPr>
          </w:p>
          <w:p w14:paraId="144933A5">
            <w:pPr>
              <w:bidi w:val="0"/>
              <w:rPr>
                <w:rFonts w:hint="default" w:ascii="Times New Roman" w:hAnsi="Times New Roman" w:cs="Times New Roman"/>
                <w:color w:val="auto"/>
                <w:sz w:val="24"/>
                <w:szCs w:val="24"/>
                <w:highlight w:val="none"/>
                <w:lang w:val="en-US" w:eastAsia="zh-CN"/>
              </w:rPr>
            </w:pPr>
          </w:p>
        </w:tc>
      </w:tr>
    </w:tbl>
    <w:p w14:paraId="2CC843E6">
      <w:pPr>
        <w:pStyle w:val="18"/>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r>
        <w:rPr>
          <w:rFonts w:hint="default" w:ascii="Times New Roman" w:hAnsi="Times New Roman" w:eastAsia="黑体" w:cs="Times New Roman"/>
          <w:snapToGrid w:val="0"/>
          <w:color w:val="auto"/>
          <w:sz w:val="30"/>
          <w:szCs w:val="30"/>
          <w:highlight w:val="none"/>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7A87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07AE2A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lang w:val="en-US" w:eastAsia="zh-CN"/>
              </w:rPr>
              <w:t>综上所述，本项目符合产业政策要求；项目符合“三线一单”管控要求；本项目拟采取的环境保护措施技术经济合理，产生的废气、废水和噪声均能达标排放，环境影响可接受；建设单位只要项目在实施过程中，切实落实本报告提出的各项污染防治措施、环境风险防控措施，确保环境保护措施与主体工程同时设计、同时施工、同时投产使用，从环境保护角度分析，本项目是可行的。</w:t>
            </w:r>
          </w:p>
          <w:p w14:paraId="6D64CC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auto"/>
                <w:sz w:val="24"/>
                <w:szCs w:val="24"/>
                <w:highlight w:val="none"/>
                <w:lang w:eastAsia="zh-CN"/>
              </w:rPr>
            </w:pPr>
          </w:p>
          <w:p w14:paraId="63E21280">
            <w:pPr>
              <w:spacing w:line="360" w:lineRule="auto"/>
              <w:jc w:val="both"/>
              <w:rPr>
                <w:rFonts w:hint="default" w:ascii="Times New Roman" w:hAnsi="Times New Roman" w:cs="Times New Roman"/>
                <w:b/>
                <w:bCs/>
                <w:color w:val="auto"/>
                <w:sz w:val="28"/>
                <w:szCs w:val="28"/>
                <w:highlight w:val="none"/>
                <w:lang w:eastAsia="zh-CN"/>
              </w:rPr>
            </w:pPr>
          </w:p>
          <w:p w14:paraId="5CC041F3">
            <w:pPr>
              <w:spacing w:line="360" w:lineRule="auto"/>
              <w:jc w:val="both"/>
              <w:rPr>
                <w:rFonts w:hint="default" w:ascii="Times New Roman" w:hAnsi="Times New Roman" w:cs="Times New Roman"/>
                <w:b/>
                <w:bCs/>
                <w:color w:val="auto"/>
                <w:sz w:val="28"/>
                <w:szCs w:val="28"/>
                <w:highlight w:val="none"/>
                <w:lang w:eastAsia="zh-CN"/>
              </w:rPr>
            </w:pPr>
          </w:p>
          <w:p w14:paraId="10C10C61">
            <w:pPr>
              <w:spacing w:line="360" w:lineRule="auto"/>
              <w:jc w:val="both"/>
              <w:rPr>
                <w:rFonts w:hint="default" w:ascii="Times New Roman" w:hAnsi="Times New Roman" w:cs="Times New Roman"/>
                <w:b/>
                <w:bCs/>
                <w:color w:val="auto"/>
                <w:sz w:val="28"/>
                <w:szCs w:val="28"/>
                <w:highlight w:val="none"/>
                <w:lang w:eastAsia="zh-CN"/>
              </w:rPr>
            </w:pPr>
          </w:p>
          <w:p w14:paraId="07B73B2C">
            <w:pPr>
              <w:spacing w:line="360" w:lineRule="auto"/>
              <w:jc w:val="both"/>
              <w:rPr>
                <w:rFonts w:hint="default" w:ascii="Times New Roman" w:hAnsi="Times New Roman" w:cs="Times New Roman"/>
                <w:b/>
                <w:bCs/>
                <w:color w:val="auto"/>
                <w:sz w:val="28"/>
                <w:szCs w:val="28"/>
                <w:highlight w:val="none"/>
                <w:lang w:eastAsia="zh-CN"/>
              </w:rPr>
            </w:pPr>
          </w:p>
          <w:p w14:paraId="091DC005">
            <w:pPr>
              <w:spacing w:line="360" w:lineRule="auto"/>
              <w:jc w:val="both"/>
              <w:rPr>
                <w:rFonts w:hint="default" w:ascii="Times New Roman" w:hAnsi="Times New Roman" w:cs="Times New Roman"/>
                <w:b/>
                <w:bCs/>
                <w:color w:val="auto"/>
                <w:sz w:val="28"/>
                <w:szCs w:val="28"/>
                <w:highlight w:val="none"/>
                <w:lang w:eastAsia="zh-CN"/>
              </w:rPr>
            </w:pPr>
          </w:p>
          <w:p w14:paraId="31337A05">
            <w:pPr>
              <w:spacing w:line="360" w:lineRule="auto"/>
              <w:jc w:val="both"/>
              <w:rPr>
                <w:rFonts w:hint="default" w:ascii="Times New Roman" w:hAnsi="Times New Roman" w:eastAsia="宋体" w:cs="Times New Roman"/>
                <w:color w:val="auto"/>
                <w:sz w:val="24"/>
                <w:highlight w:val="none"/>
                <w:lang w:eastAsia="zh-CN"/>
              </w:rPr>
            </w:pPr>
          </w:p>
        </w:tc>
      </w:tr>
    </w:tbl>
    <w:p w14:paraId="0F647454">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2A8585F">
      <w:pPr>
        <w:pStyle w:val="18"/>
        <w:adjustRightInd w:val="0"/>
        <w:snapToGrid w:val="0"/>
        <w:spacing w:before="0" w:beforeAutospacing="0" w:after="0" w:afterAutospacing="0" w:line="360" w:lineRule="auto"/>
        <w:outlineLvl w:val="0"/>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附表</w:t>
      </w:r>
    </w:p>
    <w:p w14:paraId="01F75D8B">
      <w:pPr>
        <w:pStyle w:val="18"/>
        <w:adjustRightInd w:val="0"/>
        <w:snapToGrid w:val="0"/>
        <w:spacing w:before="0" w:beforeAutospacing="0" w:after="0" w:afterAutospacing="0"/>
        <w:jc w:val="center"/>
        <w:outlineLvl w:val="0"/>
        <w:rPr>
          <w:rFonts w:hint="default" w:ascii="Times New Roman" w:hAnsi="Times New Roman" w:eastAsia="方正小标宋_GBK" w:cs="Times New Roman"/>
          <w:snapToGrid w:val="0"/>
          <w:color w:val="auto"/>
          <w:sz w:val="38"/>
          <w:szCs w:val="38"/>
          <w:highlight w:val="none"/>
        </w:rPr>
      </w:pPr>
      <w:bookmarkStart w:id="125" w:name="_Toc16660"/>
      <w:r>
        <w:rPr>
          <w:rFonts w:hint="default" w:ascii="Times New Roman" w:hAnsi="Times New Roman" w:eastAsia="方正小标宋_GBK" w:cs="Times New Roman"/>
          <w:snapToGrid w:val="0"/>
          <w:color w:val="auto"/>
          <w:sz w:val="38"/>
          <w:szCs w:val="38"/>
          <w:highlight w:val="none"/>
        </w:rPr>
        <w:t>建设项目污染物排放量汇总表</w:t>
      </w:r>
      <w:bookmarkEnd w:id="125"/>
    </w:p>
    <w:tbl>
      <w:tblPr>
        <w:tblStyle w:val="19"/>
        <w:tblW w:w="14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486"/>
        <w:gridCol w:w="1784"/>
        <w:gridCol w:w="1338"/>
        <w:gridCol w:w="1784"/>
        <w:gridCol w:w="1635"/>
        <w:gridCol w:w="1586"/>
        <w:gridCol w:w="1823"/>
        <w:gridCol w:w="1357"/>
      </w:tblGrid>
      <w:tr w14:paraId="6FCCA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3D23BFFF">
            <w:pPr>
              <w:pStyle w:val="47"/>
              <w:bidi w:val="0"/>
              <w:snapToGrid w:val="0"/>
              <w:jc w:val="left"/>
              <mc:AlternateContent>
                <mc:Choice Requires="wpsCustomData">
                  <wpsCustomData:diagonalParaType/>
                </mc:Choice>
              </mc:AlternateContent>
              <w:rPr>
                <w:rFonts w:hint="default" w:ascii="Times New Roman" w:hAnsi="Times New Roman" w:cs="Times New Roman"/>
                <w:color w:val="auto"/>
                <w:highlight w:val="none"/>
              </w:rPr>
            </w:pPr>
            <w:r>
              <w:rPr>
                <w:rFonts w:hint="default" w:ascii="Times New Roman" w:hAnsi="Times New Roman" w:cs="Times New Roman"/>
                <w:color w:val="auto"/>
                <w:highlight w:val="none"/>
              </w:rPr>
              <w:t>分类</w:t>
            </w:r>
          </w:p>
          <w:p w14:paraId="4B303A07">
            <w:pPr>
              <w:pStyle w:val="47"/>
              <w:bidi w:val="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14:paraId="65678679">
            <w:pPr>
              <w:pStyle w:val="47"/>
              <w:bidi w:val="0"/>
              <w:jc w:val="left"/>
              <w:rPr>
                <w:rFonts w:hint="default" w:ascii="Times New Roman" w:hAnsi="Times New Roman" w:cs="Times New Roman"/>
                <w:color w:val="auto"/>
                <w:highlight w:val="none"/>
              </w:rPr>
            </w:pPr>
          </w:p>
        </w:tc>
        <w:tc>
          <w:tcPr>
            <w:tcW w:w="1486" w:type="dxa"/>
            <w:tcBorders>
              <w:tl2br w:val="nil"/>
              <w:tr2bl w:val="nil"/>
            </w:tcBorders>
            <w:noWrap w:val="0"/>
            <w:tcMar>
              <w:left w:w="28" w:type="dxa"/>
              <w:right w:w="28" w:type="dxa"/>
            </w:tcMar>
            <w:vAlign w:val="center"/>
          </w:tcPr>
          <w:p w14:paraId="0267E5F6">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污染物名称</w:t>
            </w:r>
          </w:p>
        </w:tc>
        <w:tc>
          <w:tcPr>
            <w:tcW w:w="1784" w:type="dxa"/>
            <w:tcBorders>
              <w:tl2br w:val="nil"/>
              <w:tr2bl w:val="nil"/>
            </w:tcBorders>
            <w:noWrap w:val="0"/>
            <w:tcMar>
              <w:left w:w="28" w:type="dxa"/>
              <w:right w:w="28" w:type="dxa"/>
            </w:tcMar>
            <w:vAlign w:val="center"/>
          </w:tcPr>
          <w:p w14:paraId="2822F0B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现有工程</w:t>
            </w:r>
          </w:p>
          <w:p w14:paraId="1ECB748C">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排放量（固体废物产生量）</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1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color w:val="auto"/>
                <w:highlight w:val="none"/>
              </w:rPr>
              <w:fldChar w:fldCharType="end"/>
            </w:r>
          </w:p>
        </w:tc>
        <w:tc>
          <w:tcPr>
            <w:tcW w:w="1338" w:type="dxa"/>
            <w:tcBorders>
              <w:tl2br w:val="nil"/>
              <w:tr2bl w:val="nil"/>
            </w:tcBorders>
            <w:noWrap w:val="0"/>
            <w:tcMar>
              <w:left w:w="28" w:type="dxa"/>
              <w:right w:w="28" w:type="dxa"/>
            </w:tcMar>
            <w:vAlign w:val="center"/>
          </w:tcPr>
          <w:p w14:paraId="797B2DA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现有工程</w:t>
            </w:r>
          </w:p>
          <w:p w14:paraId="239A3BE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许可排放量</w:t>
            </w:r>
          </w:p>
          <w:p w14:paraId="48239FB3">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2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②</w:t>
            </w:r>
            <w:r>
              <w:rPr>
                <w:rFonts w:hint="default" w:ascii="Times New Roman" w:hAnsi="Times New Roman" w:cs="Times New Roman"/>
                <w:color w:val="auto"/>
                <w:highlight w:val="none"/>
              </w:rPr>
              <w:fldChar w:fldCharType="end"/>
            </w:r>
          </w:p>
        </w:tc>
        <w:tc>
          <w:tcPr>
            <w:tcW w:w="1784" w:type="dxa"/>
            <w:tcBorders>
              <w:tl2br w:val="nil"/>
              <w:tr2bl w:val="nil"/>
            </w:tcBorders>
            <w:noWrap w:val="0"/>
            <w:tcMar>
              <w:left w:w="28" w:type="dxa"/>
              <w:right w:w="28" w:type="dxa"/>
            </w:tcMar>
            <w:vAlign w:val="center"/>
          </w:tcPr>
          <w:p w14:paraId="0C750675">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在建工程</w:t>
            </w:r>
          </w:p>
          <w:p w14:paraId="222441F1">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排放量（固体废物产生量）</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3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③</w:t>
            </w:r>
            <w:r>
              <w:rPr>
                <w:rFonts w:hint="default" w:ascii="Times New Roman" w:hAnsi="Times New Roman" w:cs="Times New Roman"/>
                <w:color w:val="auto"/>
                <w:highlight w:val="none"/>
              </w:rPr>
              <w:fldChar w:fldCharType="end"/>
            </w:r>
          </w:p>
        </w:tc>
        <w:tc>
          <w:tcPr>
            <w:tcW w:w="1635" w:type="dxa"/>
            <w:tcBorders>
              <w:tl2br w:val="nil"/>
              <w:tr2bl w:val="nil"/>
            </w:tcBorders>
            <w:noWrap w:val="0"/>
            <w:tcMar>
              <w:left w:w="28" w:type="dxa"/>
              <w:right w:w="28" w:type="dxa"/>
            </w:tcMar>
            <w:vAlign w:val="center"/>
          </w:tcPr>
          <w:p w14:paraId="2E40FCB9">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p>
          <w:p w14:paraId="655DB64A">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排放量（固体废物产生量）</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4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④</w:t>
            </w:r>
            <w:r>
              <w:rPr>
                <w:rFonts w:hint="default" w:ascii="Times New Roman" w:hAnsi="Times New Roman" w:cs="Times New Roman"/>
                <w:color w:val="auto"/>
                <w:highlight w:val="none"/>
              </w:rPr>
              <w:fldChar w:fldCharType="end"/>
            </w:r>
          </w:p>
        </w:tc>
        <w:tc>
          <w:tcPr>
            <w:tcW w:w="1586" w:type="dxa"/>
            <w:tcBorders>
              <w:tl2br w:val="nil"/>
              <w:tr2bl w:val="nil"/>
            </w:tcBorders>
            <w:noWrap w:val="0"/>
            <w:tcMar>
              <w:left w:w="28" w:type="dxa"/>
              <w:right w:w="28" w:type="dxa"/>
            </w:tcMar>
            <w:vAlign w:val="center"/>
          </w:tcPr>
          <w:p w14:paraId="2B63CCD8">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以新带老削减量（新建项目不填）</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5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⑤</w:t>
            </w:r>
            <w:r>
              <w:rPr>
                <w:rFonts w:hint="default" w:ascii="Times New Roman" w:hAnsi="Times New Roman" w:cs="Times New Roman"/>
                <w:color w:val="auto"/>
                <w:highlight w:val="none"/>
              </w:rPr>
              <w:fldChar w:fldCharType="end"/>
            </w:r>
          </w:p>
        </w:tc>
        <w:tc>
          <w:tcPr>
            <w:tcW w:w="1823" w:type="dxa"/>
            <w:tcBorders>
              <w:tl2br w:val="nil"/>
              <w:tr2bl w:val="nil"/>
            </w:tcBorders>
            <w:noWrap w:val="0"/>
            <w:tcMar>
              <w:left w:w="28" w:type="dxa"/>
              <w:right w:w="28" w:type="dxa"/>
            </w:tcMar>
            <w:vAlign w:val="center"/>
          </w:tcPr>
          <w:p w14:paraId="369CF320">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本项目建成后</w:t>
            </w:r>
          </w:p>
          <w:p w14:paraId="2AB4A749">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全厂排放量（固体废物产生量）</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6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⑥</w:t>
            </w:r>
            <w:r>
              <w:rPr>
                <w:rFonts w:hint="default" w:ascii="Times New Roman" w:hAnsi="Times New Roman" w:cs="Times New Roman"/>
                <w:color w:val="auto"/>
                <w:highlight w:val="none"/>
              </w:rPr>
              <w:fldChar w:fldCharType="end"/>
            </w:r>
          </w:p>
        </w:tc>
        <w:tc>
          <w:tcPr>
            <w:tcW w:w="1357" w:type="dxa"/>
            <w:tcBorders>
              <w:tl2br w:val="nil"/>
              <w:tr2bl w:val="nil"/>
            </w:tcBorders>
            <w:noWrap w:val="0"/>
            <w:tcMar>
              <w:left w:w="28" w:type="dxa"/>
              <w:right w:w="28" w:type="dxa"/>
            </w:tcMar>
            <w:vAlign w:val="center"/>
          </w:tcPr>
          <w:p w14:paraId="545774FC">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变化量</w:t>
            </w:r>
          </w:p>
          <w:p w14:paraId="1D638E86">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7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⑦</w:t>
            </w:r>
            <w:r>
              <w:rPr>
                <w:rFonts w:hint="default" w:ascii="Times New Roman" w:hAnsi="Times New Roman" w:cs="Times New Roman"/>
                <w:color w:val="auto"/>
                <w:highlight w:val="none"/>
              </w:rPr>
              <w:fldChar w:fldCharType="end"/>
            </w:r>
          </w:p>
        </w:tc>
      </w:tr>
      <w:tr w14:paraId="4C791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383" w:type="dxa"/>
            <w:vMerge w:val="restart"/>
            <w:tcBorders>
              <w:tl2br w:val="nil"/>
              <w:tr2bl w:val="nil"/>
            </w:tcBorders>
            <w:noWrap w:val="0"/>
            <w:vAlign w:val="center"/>
          </w:tcPr>
          <w:p w14:paraId="5B47771E">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1486" w:type="dxa"/>
            <w:tcBorders>
              <w:tl2br w:val="nil"/>
              <w:tr2bl w:val="nil"/>
            </w:tcBorders>
            <w:noWrap w:val="0"/>
            <w:vAlign w:val="center"/>
          </w:tcPr>
          <w:p w14:paraId="0003E9AD">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烟尘</w:t>
            </w:r>
          </w:p>
        </w:tc>
        <w:tc>
          <w:tcPr>
            <w:tcW w:w="1784" w:type="dxa"/>
            <w:tcBorders>
              <w:tl2br w:val="nil"/>
              <w:tr2bl w:val="nil"/>
            </w:tcBorders>
            <w:noWrap w:val="0"/>
            <w:vAlign w:val="center"/>
          </w:tcPr>
          <w:p w14:paraId="74990D16">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1BFA9E4E">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54283F8C">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4956802C">
            <w:pPr>
              <w:pStyle w:val="47"/>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0.002</w:t>
            </w:r>
            <w:r>
              <w:rPr>
                <w:rFonts w:hint="default" w:ascii="Times New Roman" w:hAnsi="Times New Roman" w:cs="Times New Roman"/>
                <w:color w:val="auto"/>
                <w:highlight w:val="none"/>
              </w:rPr>
              <w:t>t/a</w:t>
            </w:r>
          </w:p>
        </w:tc>
        <w:tc>
          <w:tcPr>
            <w:tcW w:w="1586" w:type="dxa"/>
            <w:tcBorders>
              <w:tl2br w:val="nil"/>
              <w:tr2bl w:val="nil"/>
            </w:tcBorders>
            <w:noWrap w:val="0"/>
            <w:vAlign w:val="center"/>
          </w:tcPr>
          <w:p w14:paraId="2A6112F6">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3C8D41D8">
            <w:pPr>
              <w:pStyle w:val="47"/>
              <w:bidi w:val="0"/>
              <w:ind w:firstLine="0" w:firstLineChars="0"/>
              <w:rPr>
                <w:rFonts w:hint="default" w:ascii="Times New Roman" w:hAnsi="Times New Roman" w:cs="Times New Roman"/>
                <w:color w:val="auto"/>
                <w:highlight w:val="none"/>
              </w:rPr>
            </w:pPr>
            <w:r>
              <w:rPr>
                <w:rFonts w:hint="eastAsia" w:cs="Times New Roman"/>
                <w:color w:val="auto"/>
                <w:highlight w:val="none"/>
                <w:lang w:val="en-US" w:eastAsia="zh-CN"/>
              </w:rPr>
              <w:t>0.002</w:t>
            </w:r>
            <w:r>
              <w:rPr>
                <w:rFonts w:hint="default" w:ascii="Times New Roman" w:hAnsi="Times New Roman" w:cs="Times New Roman"/>
                <w:color w:val="auto"/>
                <w:highlight w:val="none"/>
              </w:rPr>
              <w:t>t/a</w:t>
            </w:r>
          </w:p>
        </w:tc>
        <w:tc>
          <w:tcPr>
            <w:tcW w:w="1357" w:type="dxa"/>
            <w:tcBorders>
              <w:tl2br w:val="nil"/>
              <w:tr2bl w:val="nil"/>
            </w:tcBorders>
            <w:noWrap w:val="0"/>
            <w:vAlign w:val="center"/>
          </w:tcPr>
          <w:p w14:paraId="3C108576">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+0.002</w:t>
            </w:r>
            <w:r>
              <w:rPr>
                <w:rFonts w:hint="default" w:ascii="Times New Roman" w:hAnsi="Times New Roman" w:cs="Times New Roman"/>
                <w:color w:val="auto"/>
                <w:highlight w:val="none"/>
              </w:rPr>
              <w:t>t/a</w:t>
            </w:r>
          </w:p>
        </w:tc>
      </w:tr>
      <w:tr w14:paraId="160A4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78FFCDBD">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center"/>
          </w:tcPr>
          <w:p w14:paraId="0C770631">
            <w:pPr>
              <w:pStyle w:val="47"/>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二氧化硫</w:t>
            </w:r>
          </w:p>
        </w:tc>
        <w:tc>
          <w:tcPr>
            <w:tcW w:w="1784" w:type="dxa"/>
            <w:tcBorders>
              <w:tl2br w:val="nil"/>
              <w:tr2bl w:val="nil"/>
            </w:tcBorders>
            <w:noWrap w:val="0"/>
            <w:vAlign w:val="center"/>
          </w:tcPr>
          <w:p w14:paraId="2354349C">
            <w:pPr>
              <w:pStyle w:val="47"/>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20A78970">
            <w:pPr>
              <w:pStyle w:val="47"/>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7A86F261">
            <w:pPr>
              <w:pStyle w:val="47"/>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1BBBA3D0">
            <w:pPr>
              <w:pStyle w:val="47"/>
              <w:bidi w:val="0"/>
              <w:jc w:val="center"/>
              <w:rPr>
                <w:rFonts w:hint="default" w:ascii="Times New Roman" w:hAnsi="Times New Roman" w:cs="Times New Roman"/>
                <w:color w:val="auto"/>
                <w:highlight w:val="none"/>
              </w:rPr>
            </w:pPr>
            <w:r>
              <w:rPr>
                <w:rFonts w:hint="eastAsia" w:cs="Times New Roman"/>
                <w:color w:val="auto"/>
                <w:highlight w:val="none"/>
                <w:lang w:val="en-US" w:eastAsia="zh-CN"/>
              </w:rPr>
              <w:t>0.408</w:t>
            </w:r>
            <w:r>
              <w:rPr>
                <w:rFonts w:hint="default" w:ascii="Times New Roman" w:hAnsi="Times New Roman" w:cs="Times New Roman"/>
                <w:color w:val="auto"/>
                <w:highlight w:val="none"/>
              </w:rPr>
              <w:t>t/a</w:t>
            </w:r>
          </w:p>
        </w:tc>
        <w:tc>
          <w:tcPr>
            <w:tcW w:w="1586" w:type="dxa"/>
            <w:tcBorders>
              <w:tl2br w:val="nil"/>
              <w:tr2bl w:val="nil"/>
            </w:tcBorders>
            <w:noWrap w:val="0"/>
            <w:vAlign w:val="center"/>
          </w:tcPr>
          <w:p w14:paraId="75CC1966">
            <w:pPr>
              <w:pStyle w:val="47"/>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19BB2547">
            <w:pPr>
              <w:pStyle w:val="47"/>
              <w:bidi w:val="0"/>
              <w:ind w:firstLine="0" w:firstLineChars="0"/>
              <w:jc w:val="center"/>
              <w:rPr>
                <w:rFonts w:hint="default" w:ascii="Times New Roman" w:hAnsi="Times New Roman" w:cs="Times New Roman"/>
                <w:color w:val="auto"/>
                <w:highlight w:val="none"/>
              </w:rPr>
            </w:pPr>
            <w:r>
              <w:rPr>
                <w:rFonts w:hint="eastAsia" w:cs="Times New Roman"/>
                <w:color w:val="auto"/>
                <w:highlight w:val="none"/>
                <w:lang w:val="en-US" w:eastAsia="zh-CN"/>
              </w:rPr>
              <w:t>0.408</w:t>
            </w:r>
            <w:r>
              <w:rPr>
                <w:rFonts w:hint="default" w:ascii="Times New Roman" w:hAnsi="Times New Roman" w:cs="Times New Roman"/>
                <w:color w:val="auto"/>
                <w:highlight w:val="none"/>
              </w:rPr>
              <w:t>t/a</w:t>
            </w:r>
          </w:p>
        </w:tc>
        <w:tc>
          <w:tcPr>
            <w:tcW w:w="1357" w:type="dxa"/>
            <w:tcBorders>
              <w:tl2br w:val="nil"/>
              <w:tr2bl w:val="nil"/>
            </w:tcBorders>
            <w:noWrap w:val="0"/>
            <w:vAlign w:val="center"/>
          </w:tcPr>
          <w:p w14:paraId="13B5F085">
            <w:pPr>
              <w:pStyle w:val="47"/>
              <w:bidi w:val="0"/>
              <w:ind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+0.408</w:t>
            </w:r>
            <w:r>
              <w:rPr>
                <w:rFonts w:hint="default" w:ascii="Times New Roman" w:hAnsi="Times New Roman" w:cs="Times New Roman"/>
                <w:color w:val="auto"/>
                <w:highlight w:val="none"/>
              </w:rPr>
              <w:t>t/a</w:t>
            </w:r>
          </w:p>
        </w:tc>
      </w:tr>
      <w:tr w14:paraId="0301C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7FB9871F">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top"/>
          </w:tcPr>
          <w:p w14:paraId="78FA092C">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氮氧化物</w:t>
            </w:r>
          </w:p>
        </w:tc>
        <w:tc>
          <w:tcPr>
            <w:tcW w:w="1784" w:type="dxa"/>
            <w:tcBorders>
              <w:tl2br w:val="nil"/>
              <w:tr2bl w:val="nil"/>
            </w:tcBorders>
            <w:noWrap w:val="0"/>
            <w:vAlign w:val="center"/>
          </w:tcPr>
          <w:p w14:paraId="2C479EC2">
            <w:pPr>
              <w:pStyle w:val="47"/>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346775B1">
            <w:pPr>
              <w:pStyle w:val="47"/>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28CA51B4">
            <w:pPr>
              <w:pStyle w:val="47"/>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top"/>
          </w:tcPr>
          <w:p w14:paraId="2598B5BC">
            <w:pPr>
              <w:pStyle w:val="47"/>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2.856</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/a</w:t>
            </w:r>
          </w:p>
        </w:tc>
        <w:tc>
          <w:tcPr>
            <w:tcW w:w="1586" w:type="dxa"/>
            <w:tcBorders>
              <w:tl2br w:val="nil"/>
              <w:tr2bl w:val="nil"/>
            </w:tcBorders>
            <w:noWrap w:val="0"/>
            <w:vAlign w:val="center"/>
          </w:tcPr>
          <w:p w14:paraId="04A5DC5B">
            <w:pPr>
              <w:pStyle w:val="47"/>
              <w:bidi w:val="0"/>
              <w:rPr>
                <w:rFonts w:hint="default" w:ascii="Times New Roman" w:hAnsi="Times New Roman" w:cs="Times New Roman"/>
                <w:color w:val="auto"/>
                <w:highlight w:val="none"/>
                <w:lang w:val="en-US" w:eastAsia="zh-CN"/>
              </w:rPr>
            </w:pPr>
          </w:p>
        </w:tc>
        <w:tc>
          <w:tcPr>
            <w:tcW w:w="1823" w:type="dxa"/>
            <w:tcBorders>
              <w:tl2br w:val="nil"/>
              <w:tr2bl w:val="nil"/>
            </w:tcBorders>
            <w:noWrap w:val="0"/>
            <w:vAlign w:val="top"/>
          </w:tcPr>
          <w:p w14:paraId="6A0DE0EB">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2.856</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/a</w:t>
            </w:r>
          </w:p>
        </w:tc>
        <w:tc>
          <w:tcPr>
            <w:tcW w:w="1357" w:type="dxa"/>
            <w:tcBorders>
              <w:tl2br w:val="nil"/>
              <w:tr2bl w:val="nil"/>
            </w:tcBorders>
            <w:noWrap w:val="0"/>
            <w:vAlign w:val="top"/>
          </w:tcPr>
          <w:p w14:paraId="0F565751">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+2.856</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/a</w:t>
            </w:r>
          </w:p>
        </w:tc>
      </w:tr>
      <w:tr w14:paraId="0ACE2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83" w:type="dxa"/>
            <w:vMerge w:val="restart"/>
            <w:tcBorders>
              <w:tl2br w:val="nil"/>
              <w:tr2bl w:val="nil"/>
            </w:tcBorders>
            <w:noWrap w:val="0"/>
            <w:vAlign w:val="center"/>
          </w:tcPr>
          <w:p w14:paraId="516915B0">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1486" w:type="dxa"/>
            <w:tcBorders>
              <w:tl2br w:val="nil"/>
              <w:tr2bl w:val="nil"/>
            </w:tcBorders>
            <w:noWrap w:val="0"/>
            <w:vAlign w:val="center"/>
          </w:tcPr>
          <w:p w14:paraId="498D5C8D">
            <w:pPr>
              <w:pStyle w:val="4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水量</w:t>
            </w:r>
          </w:p>
        </w:tc>
        <w:tc>
          <w:tcPr>
            <w:tcW w:w="1784" w:type="dxa"/>
            <w:tcBorders>
              <w:tl2br w:val="nil"/>
              <w:tr2bl w:val="nil"/>
            </w:tcBorders>
            <w:noWrap w:val="0"/>
            <w:vAlign w:val="center"/>
          </w:tcPr>
          <w:p w14:paraId="021CB928">
            <w:pPr>
              <w:pStyle w:val="47"/>
              <w:bidi w:val="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6B3C7413">
            <w:pPr>
              <w:pStyle w:val="47"/>
              <w:bidi w:val="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298B3B98">
            <w:pPr>
              <w:pStyle w:val="47"/>
              <w:bidi w:val="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0116D050">
            <w:pPr>
              <w:pStyle w:val="4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18m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/a</w:t>
            </w:r>
          </w:p>
        </w:tc>
        <w:tc>
          <w:tcPr>
            <w:tcW w:w="1586" w:type="dxa"/>
            <w:tcBorders>
              <w:tl2br w:val="nil"/>
              <w:tr2bl w:val="nil"/>
            </w:tcBorders>
            <w:noWrap w:val="0"/>
            <w:vAlign w:val="center"/>
          </w:tcPr>
          <w:p w14:paraId="4260FA2E">
            <w:pPr>
              <w:pStyle w:val="47"/>
              <w:bidi w:val="0"/>
              <w:rPr>
                <w:rFonts w:hint="default" w:ascii="Times New Roman" w:hAnsi="Times New Roman" w:cs="Times New Roman"/>
                <w:color w:val="auto"/>
                <w:highlight w:val="none"/>
              </w:rPr>
            </w:pPr>
          </w:p>
        </w:tc>
        <w:tc>
          <w:tcPr>
            <w:tcW w:w="1823" w:type="dxa"/>
            <w:tcBorders>
              <w:tl2br w:val="nil"/>
              <w:tr2bl w:val="nil"/>
            </w:tcBorders>
            <w:noWrap w:val="0"/>
            <w:vAlign w:val="center"/>
          </w:tcPr>
          <w:p w14:paraId="6A415D8C">
            <w:pPr>
              <w:pStyle w:val="47"/>
              <w:bidi w:val="0"/>
              <w:ind w:firstLine="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18m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/a</w:t>
            </w:r>
          </w:p>
        </w:tc>
        <w:tc>
          <w:tcPr>
            <w:tcW w:w="1357" w:type="dxa"/>
            <w:tcBorders>
              <w:tl2br w:val="nil"/>
              <w:tr2bl w:val="nil"/>
            </w:tcBorders>
            <w:noWrap w:val="0"/>
            <w:vAlign w:val="center"/>
          </w:tcPr>
          <w:p w14:paraId="396572DE">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+18m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/a</w:t>
            </w:r>
          </w:p>
        </w:tc>
      </w:tr>
      <w:tr w14:paraId="7E08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83" w:type="dxa"/>
            <w:vMerge w:val="continue"/>
            <w:tcBorders>
              <w:tl2br w:val="nil"/>
              <w:tr2bl w:val="nil"/>
            </w:tcBorders>
            <w:noWrap w:val="0"/>
            <w:vAlign w:val="center"/>
          </w:tcPr>
          <w:p w14:paraId="6A6759A1">
            <w:pPr>
              <w:pStyle w:val="47"/>
              <w:bidi w:val="0"/>
              <w:ind w:firstLine="0" w:firstLineChars="0"/>
              <w:rPr>
                <w:color w:val="auto"/>
                <w:highlight w:val="none"/>
              </w:rPr>
            </w:pPr>
          </w:p>
        </w:tc>
        <w:tc>
          <w:tcPr>
            <w:tcW w:w="1486" w:type="dxa"/>
            <w:tcBorders>
              <w:tl2br w:val="nil"/>
              <w:tr2bl w:val="nil"/>
            </w:tcBorders>
            <w:shd w:val="clear" w:color="auto" w:fill="auto"/>
            <w:noWrap w:val="0"/>
            <w:vAlign w:val="center"/>
          </w:tcPr>
          <w:p w14:paraId="7265C821">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COD</w:t>
            </w:r>
          </w:p>
        </w:tc>
        <w:tc>
          <w:tcPr>
            <w:tcW w:w="1784" w:type="dxa"/>
            <w:tcBorders>
              <w:tl2br w:val="nil"/>
              <w:tr2bl w:val="nil"/>
            </w:tcBorders>
            <w:shd w:val="clear" w:color="auto" w:fill="auto"/>
            <w:noWrap w:val="0"/>
            <w:vAlign w:val="center"/>
          </w:tcPr>
          <w:p w14:paraId="4CCFAD2E">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6C247A49">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05D53359">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0327A698">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0.0054</w:t>
            </w:r>
            <w:r>
              <w:rPr>
                <w:rFonts w:hint="default" w:ascii="Times New Roman" w:hAnsi="Times New Roman" w:cs="Times New Roman"/>
                <w:color w:val="auto"/>
                <w:highlight w:val="none"/>
                <w:lang w:val="en-US" w:eastAsia="zh-CN"/>
              </w:rPr>
              <w:t>t/a</w:t>
            </w:r>
          </w:p>
        </w:tc>
        <w:tc>
          <w:tcPr>
            <w:tcW w:w="1586" w:type="dxa"/>
            <w:tcBorders>
              <w:tl2br w:val="nil"/>
              <w:tr2bl w:val="nil"/>
            </w:tcBorders>
            <w:shd w:val="clear" w:color="auto" w:fill="auto"/>
            <w:noWrap w:val="0"/>
            <w:vAlign w:val="center"/>
          </w:tcPr>
          <w:p w14:paraId="142E8486">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19CB12C1">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0.0054</w:t>
            </w:r>
            <w:r>
              <w:rPr>
                <w:rFonts w:hint="default" w:ascii="Times New Roman" w:hAnsi="Times New Roman" w:cs="Times New Roman"/>
                <w:color w:val="auto"/>
                <w:highlight w:val="none"/>
                <w:lang w:val="en-US" w:eastAsia="zh-CN"/>
              </w:rPr>
              <w:t>t/a</w:t>
            </w:r>
          </w:p>
        </w:tc>
        <w:tc>
          <w:tcPr>
            <w:tcW w:w="1357" w:type="dxa"/>
            <w:tcBorders>
              <w:tl2br w:val="nil"/>
              <w:tr2bl w:val="nil"/>
            </w:tcBorders>
            <w:shd w:val="clear" w:color="auto" w:fill="auto"/>
            <w:noWrap w:val="0"/>
            <w:vAlign w:val="center"/>
          </w:tcPr>
          <w:p w14:paraId="1CF41B30">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+0.0054</w:t>
            </w:r>
            <w:r>
              <w:rPr>
                <w:rFonts w:hint="default" w:ascii="Times New Roman" w:hAnsi="Times New Roman" w:cs="Times New Roman"/>
                <w:color w:val="auto"/>
                <w:highlight w:val="none"/>
                <w:lang w:val="en-US" w:eastAsia="zh-CN"/>
              </w:rPr>
              <w:t>t/a</w:t>
            </w:r>
          </w:p>
        </w:tc>
      </w:tr>
      <w:tr w14:paraId="4178C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4F3C0CA4">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center"/>
          </w:tcPr>
          <w:p w14:paraId="3F1D2B16">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BOD</w:t>
            </w:r>
            <w:r>
              <w:rPr>
                <w:rFonts w:hint="default" w:ascii="Times New Roman" w:hAnsi="Times New Roman" w:cs="Times New Roman"/>
                <w:color w:val="auto"/>
                <w:highlight w:val="none"/>
                <w:vertAlign w:val="subscript"/>
              </w:rPr>
              <w:t>5</w:t>
            </w:r>
          </w:p>
        </w:tc>
        <w:tc>
          <w:tcPr>
            <w:tcW w:w="1784" w:type="dxa"/>
            <w:tcBorders>
              <w:tl2br w:val="nil"/>
              <w:tr2bl w:val="nil"/>
            </w:tcBorders>
            <w:noWrap w:val="0"/>
            <w:vAlign w:val="center"/>
          </w:tcPr>
          <w:p w14:paraId="6D8B5380">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51E2DCAC">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0005C6A5">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67940BE1">
            <w:pPr>
              <w:pStyle w:val="4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0.0036</w:t>
            </w:r>
            <w:r>
              <w:rPr>
                <w:rFonts w:hint="default" w:ascii="Times New Roman" w:hAnsi="Times New Roman" w:cs="Times New Roman"/>
                <w:color w:val="auto"/>
                <w:highlight w:val="none"/>
                <w:lang w:val="en-US" w:eastAsia="zh-CN"/>
              </w:rPr>
              <w:t>t/a</w:t>
            </w:r>
          </w:p>
        </w:tc>
        <w:tc>
          <w:tcPr>
            <w:tcW w:w="1586" w:type="dxa"/>
            <w:tcBorders>
              <w:tl2br w:val="nil"/>
              <w:tr2bl w:val="nil"/>
            </w:tcBorders>
            <w:noWrap w:val="0"/>
            <w:vAlign w:val="center"/>
          </w:tcPr>
          <w:p w14:paraId="2B69F19B">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26220380">
            <w:pPr>
              <w:pStyle w:val="47"/>
              <w:bidi w:val="0"/>
              <w:ind w:firstLine="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0.0036</w:t>
            </w:r>
            <w:r>
              <w:rPr>
                <w:rFonts w:hint="default" w:ascii="Times New Roman" w:hAnsi="Times New Roman" w:cs="Times New Roman"/>
                <w:color w:val="auto"/>
                <w:highlight w:val="none"/>
                <w:lang w:val="en-US" w:eastAsia="zh-CN"/>
              </w:rPr>
              <w:t>t/a</w:t>
            </w:r>
          </w:p>
        </w:tc>
        <w:tc>
          <w:tcPr>
            <w:tcW w:w="1357" w:type="dxa"/>
            <w:tcBorders>
              <w:tl2br w:val="nil"/>
              <w:tr2bl w:val="nil"/>
            </w:tcBorders>
            <w:noWrap w:val="0"/>
            <w:vAlign w:val="center"/>
          </w:tcPr>
          <w:p w14:paraId="0C744019">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+0.0036</w:t>
            </w:r>
            <w:r>
              <w:rPr>
                <w:rFonts w:hint="default" w:ascii="Times New Roman" w:hAnsi="Times New Roman" w:cs="Times New Roman"/>
                <w:color w:val="auto"/>
                <w:highlight w:val="none"/>
                <w:lang w:val="en-US" w:eastAsia="zh-CN"/>
              </w:rPr>
              <w:t>t/a</w:t>
            </w:r>
          </w:p>
        </w:tc>
      </w:tr>
      <w:tr w14:paraId="4EE2D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72B75806">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center"/>
          </w:tcPr>
          <w:p w14:paraId="15A69747">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SS</w:t>
            </w:r>
          </w:p>
        </w:tc>
        <w:tc>
          <w:tcPr>
            <w:tcW w:w="1784" w:type="dxa"/>
            <w:tcBorders>
              <w:tl2br w:val="nil"/>
              <w:tr2bl w:val="nil"/>
            </w:tcBorders>
            <w:noWrap w:val="0"/>
            <w:vAlign w:val="center"/>
          </w:tcPr>
          <w:p w14:paraId="05322717">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43AF9C0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39E85317">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4A6BB744">
            <w:pPr>
              <w:pStyle w:val="4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0.0063</w:t>
            </w:r>
            <w:r>
              <w:rPr>
                <w:rFonts w:hint="default" w:ascii="Times New Roman" w:hAnsi="Times New Roman" w:cs="Times New Roman"/>
                <w:color w:val="auto"/>
                <w:highlight w:val="none"/>
                <w:lang w:val="en-US" w:eastAsia="zh-CN"/>
              </w:rPr>
              <w:t>t/a</w:t>
            </w:r>
          </w:p>
        </w:tc>
        <w:tc>
          <w:tcPr>
            <w:tcW w:w="1586" w:type="dxa"/>
            <w:tcBorders>
              <w:tl2br w:val="nil"/>
              <w:tr2bl w:val="nil"/>
            </w:tcBorders>
            <w:noWrap w:val="0"/>
            <w:vAlign w:val="center"/>
          </w:tcPr>
          <w:p w14:paraId="5AD77959">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22B822F1">
            <w:pPr>
              <w:pStyle w:val="47"/>
              <w:bidi w:val="0"/>
              <w:ind w:firstLine="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0.0063</w:t>
            </w:r>
            <w:r>
              <w:rPr>
                <w:rFonts w:hint="default" w:ascii="Times New Roman" w:hAnsi="Times New Roman" w:cs="Times New Roman"/>
                <w:color w:val="auto"/>
                <w:highlight w:val="none"/>
                <w:lang w:val="en-US" w:eastAsia="zh-CN"/>
              </w:rPr>
              <w:t>t/a</w:t>
            </w:r>
          </w:p>
        </w:tc>
        <w:tc>
          <w:tcPr>
            <w:tcW w:w="1357" w:type="dxa"/>
            <w:tcBorders>
              <w:tl2br w:val="nil"/>
              <w:tr2bl w:val="nil"/>
            </w:tcBorders>
            <w:noWrap w:val="0"/>
            <w:vAlign w:val="center"/>
          </w:tcPr>
          <w:p w14:paraId="3F62AF6A">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+0.0063</w:t>
            </w:r>
            <w:r>
              <w:rPr>
                <w:rFonts w:hint="default" w:ascii="Times New Roman" w:hAnsi="Times New Roman" w:cs="Times New Roman"/>
                <w:color w:val="auto"/>
                <w:highlight w:val="none"/>
                <w:lang w:val="en-US" w:eastAsia="zh-CN"/>
              </w:rPr>
              <w:t>t/a</w:t>
            </w:r>
          </w:p>
        </w:tc>
      </w:tr>
      <w:tr w14:paraId="6002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30762040">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center"/>
          </w:tcPr>
          <w:p w14:paraId="4BCB4DA0">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氨氮</w:t>
            </w:r>
          </w:p>
        </w:tc>
        <w:tc>
          <w:tcPr>
            <w:tcW w:w="1784" w:type="dxa"/>
            <w:tcBorders>
              <w:tl2br w:val="nil"/>
              <w:tr2bl w:val="nil"/>
            </w:tcBorders>
            <w:noWrap w:val="0"/>
            <w:vAlign w:val="center"/>
          </w:tcPr>
          <w:p w14:paraId="5168033B">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3C522EA1">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30CA2217">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2FDC0AD1">
            <w:pPr>
              <w:pStyle w:val="4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0.00045</w:t>
            </w:r>
            <w:r>
              <w:rPr>
                <w:rFonts w:hint="default" w:ascii="Times New Roman" w:hAnsi="Times New Roman" w:cs="Times New Roman"/>
                <w:color w:val="auto"/>
                <w:highlight w:val="none"/>
                <w:lang w:val="en-US" w:eastAsia="zh-CN"/>
              </w:rPr>
              <w:t>t/a</w:t>
            </w:r>
          </w:p>
        </w:tc>
        <w:tc>
          <w:tcPr>
            <w:tcW w:w="1586" w:type="dxa"/>
            <w:tcBorders>
              <w:tl2br w:val="nil"/>
              <w:tr2bl w:val="nil"/>
            </w:tcBorders>
            <w:noWrap w:val="0"/>
            <w:vAlign w:val="center"/>
          </w:tcPr>
          <w:p w14:paraId="01711D0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2B52EF6B">
            <w:pPr>
              <w:pStyle w:val="47"/>
              <w:bidi w:val="0"/>
              <w:ind w:firstLine="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0.00045</w:t>
            </w:r>
            <w:r>
              <w:rPr>
                <w:rFonts w:hint="default" w:ascii="Times New Roman" w:hAnsi="Times New Roman" w:cs="Times New Roman"/>
                <w:color w:val="auto"/>
                <w:highlight w:val="none"/>
                <w:lang w:val="en-US" w:eastAsia="zh-CN"/>
              </w:rPr>
              <w:t>t/a</w:t>
            </w:r>
          </w:p>
        </w:tc>
        <w:tc>
          <w:tcPr>
            <w:tcW w:w="1357" w:type="dxa"/>
            <w:tcBorders>
              <w:tl2br w:val="nil"/>
              <w:tr2bl w:val="nil"/>
            </w:tcBorders>
            <w:noWrap w:val="0"/>
            <w:vAlign w:val="center"/>
          </w:tcPr>
          <w:p w14:paraId="104F0F1E">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+0.00045</w:t>
            </w:r>
            <w:r>
              <w:rPr>
                <w:rFonts w:hint="default" w:ascii="Times New Roman" w:hAnsi="Times New Roman" w:cs="Times New Roman"/>
                <w:color w:val="auto"/>
                <w:highlight w:val="none"/>
                <w:lang w:val="en-US" w:eastAsia="zh-CN"/>
              </w:rPr>
              <w:t>t/a</w:t>
            </w:r>
          </w:p>
        </w:tc>
      </w:tr>
      <w:tr w14:paraId="27427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restart"/>
            <w:tcBorders>
              <w:tl2br w:val="nil"/>
              <w:tr2bl w:val="nil"/>
            </w:tcBorders>
            <w:noWrap w:val="0"/>
            <w:vAlign w:val="center"/>
          </w:tcPr>
          <w:p w14:paraId="7849A4DC">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一般工业</w:t>
            </w:r>
          </w:p>
          <w:p w14:paraId="02C501A3">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固体废物</w:t>
            </w:r>
          </w:p>
        </w:tc>
        <w:tc>
          <w:tcPr>
            <w:tcW w:w="1486" w:type="dxa"/>
            <w:tcBorders>
              <w:tl2br w:val="nil"/>
              <w:tr2bl w:val="nil"/>
            </w:tcBorders>
            <w:shd w:val="clear" w:color="auto" w:fill="auto"/>
            <w:noWrap w:val="0"/>
            <w:vAlign w:val="center"/>
          </w:tcPr>
          <w:p w14:paraId="4B9ED8E9">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杂质</w:t>
            </w:r>
          </w:p>
        </w:tc>
        <w:tc>
          <w:tcPr>
            <w:tcW w:w="1784" w:type="dxa"/>
            <w:tcBorders>
              <w:tl2br w:val="nil"/>
              <w:tr2bl w:val="nil"/>
            </w:tcBorders>
            <w:shd w:val="clear" w:color="auto" w:fill="auto"/>
            <w:noWrap w:val="0"/>
            <w:vAlign w:val="center"/>
          </w:tcPr>
          <w:p w14:paraId="6F8CDCA2">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1C8B5D67">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1DE3C708">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6E44A565">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120</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50D4A731">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009F5A44">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120</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6B579DC0">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+120</w:t>
            </w:r>
            <w:r>
              <w:rPr>
                <w:rFonts w:hint="default" w:ascii="Times New Roman" w:hAnsi="Times New Roman" w:cs="Times New Roman"/>
                <w:color w:val="auto"/>
                <w:highlight w:val="none"/>
              </w:rPr>
              <w:t>t/a</w:t>
            </w:r>
          </w:p>
        </w:tc>
      </w:tr>
      <w:tr w14:paraId="57AB7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05039067">
            <w:pPr>
              <w:pStyle w:val="47"/>
              <w:bidi w:val="0"/>
              <w:rPr>
                <w:rFonts w:hint="default" w:ascii="Times New Roman" w:hAnsi="Times New Roman" w:cs="Times New Roman"/>
                <w:color w:val="auto"/>
                <w:highlight w:val="none"/>
              </w:rPr>
            </w:pPr>
          </w:p>
        </w:tc>
        <w:tc>
          <w:tcPr>
            <w:tcW w:w="1486" w:type="dxa"/>
            <w:tcBorders>
              <w:tl2br w:val="nil"/>
              <w:tr2bl w:val="nil"/>
            </w:tcBorders>
            <w:shd w:val="clear" w:color="auto" w:fill="auto"/>
            <w:noWrap w:val="0"/>
            <w:vAlign w:val="center"/>
          </w:tcPr>
          <w:p w14:paraId="2693A258">
            <w:pPr>
              <w:pStyle w:val="47"/>
              <w:bidi w:val="0"/>
              <w:ind w:firstLine="0" w:firstLineChars="0"/>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炉渣</w:t>
            </w:r>
          </w:p>
        </w:tc>
        <w:tc>
          <w:tcPr>
            <w:tcW w:w="1784" w:type="dxa"/>
            <w:tcBorders>
              <w:tl2br w:val="nil"/>
              <w:tr2bl w:val="nil"/>
            </w:tcBorders>
            <w:shd w:val="clear" w:color="auto" w:fill="auto"/>
            <w:noWrap w:val="0"/>
            <w:vAlign w:val="center"/>
          </w:tcPr>
          <w:p w14:paraId="470D4A03">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2EA31038">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1CAA6B9F">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663C3B04">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205.69</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779008A7">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4EC8D7B5">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205.69</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2C6223BF">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+205.69</w:t>
            </w:r>
            <w:r>
              <w:rPr>
                <w:rFonts w:hint="default" w:ascii="Times New Roman" w:hAnsi="Times New Roman" w:cs="Times New Roman"/>
                <w:color w:val="auto"/>
                <w:highlight w:val="none"/>
              </w:rPr>
              <w:t>t/a</w:t>
            </w:r>
          </w:p>
        </w:tc>
      </w:tr>
      <w:tr w14:paraId="56975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4B19C581">
            <w:pPr>
              <w:pStyle w:val="47"/>
              <w:bidi w:val="0"/>
              <w:rPr>
                <w:rFonts w:hint="default" w:ascii="Times New Roman" w:hAnsi="Times New Roman" w:cs="Times New Roman"/>
                <w:color w:val="auto"/>
                <w:highlight w:val="none"/>
              </w:rPr>
            </w:pPr>
          </w:p>
        </w:tc>
        <w:tc>
          <w:tcPr>
            <w:tcW w:w="1486" w:type="dxa"/>
            <w:tcBorders>
              <w:tl2br w:val="nil"/>
              <w:tr2bl w:val="nil"/>
            </w:tcBorders>
            <w:shd w:val="clear" w:color="auto" w:fill="auto"/>
            <w:noWrap w:val="0"/>
            <w:vAlign w:val="center"/>
          </w:tcPr>
          <w:p w14:paraId="5CBB9BED">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除尘灰</w:t>
            </w:r>
          </w:p>
        </w:tc>
        <w:tc>
          <w:tcPr>
            <w:tcW w:w="1784" w:type="dxa"/>
            <w:tcBorders>
              <w:tl2br w:val="nil"/>
              <w:tr2bl w:val="nil"/>
            </w:tcBorders>
            <w:shd w:val="clear" w:color="auto" w:fill="auto"/>
            <w:noWrap w:val="0"/>
            <w:vAlign w:val="center"/>
          </w:tcPr>
          <w:p w14:paraId="69147DF7">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30104EBD">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05AF08B9">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6BD4C0E8">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1.998</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13E5FCE6">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107DFF23">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1.998</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7E4A2BC6">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+1.998</w:t>
            </w:r>
            <w:r>
              <w:rPr>
                <w:rFonts w:hint="default" w:ascii="Times New Roman" w:hAnsi="Times New Roman" w:cs="Times New Roman"/>
                <w:color w:val="auto"/>
                <w:highlight w:val="none"/>
              </w:rPr>
              <w:t>t/a</w:t>
            </w:r>
          </w:p>
        </w:tc>
      </w:tr>
      <w:tr w14:paraId="1B6C8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61F8F9A3">
            <w:pPr>
              <w:pStyle w:val="47"/>
              <w:bidi w:val="0"/>
              <w:rPr>
                <w:rFonts w:hint="default" w:ascii="Times New Roman" w:hAnsi="Times New Roman" w:cs="Times New Roman"/>
                <w:color w:val="auto"/>
                <w:highlight w:val="none"/>
              </w:rPr>
            </w:pPr>
          </w:p>
        </w:tc>
        <w:tc>
          <w:tcPr>
            <w:tcW w:w="1486" w:type="dxa"/>
            <w:tcBorders>
              <w:tl2br w:val="nil"/>
              <w:tr2bl w:val="nil"/>
            </w:tcBorders>
            <w:shd w:val="clear" w:color="auto" w:fill="auto"/>
            <w:noWrap w:val="0"/>
            <w:vAlign w:val="center"/>
          </w:tcPr>
          <w:p w14:paraId="4B39E300">
            <w:pPr>
              <w:pStyle w:val="47"/>
              <w:bidi w:val="0"/>
              <w:ind w:firstLine="0" w:firstLineChars="0"/>
              <w:rPr>
                <w:rFonts w:hint="default" w:cs="Times New Roman"/>
                <w:color w:val="auto"/>
                <w:highlight w:val="none"/>
                <w:lang w:val="en-US" w:eastAsia="zh-CN"/>
              </w:rPr>
            </w:pPr>
            <w:r>
              <w:rPr>
                <w:rFonts w:hint="eastAsia" w:cs="Times New Roman"/>
                <w:color w:val="auto"/>
                <w:highlight w:val="none"/>
                <w:lang w:val="en-US" w:eastAsia="zh-CN"/>
              </w:rPr>
              <w:t>废包装袋</w:t>
            </w:r>
          </w:p>
        </w:tc>
        <w:tc>
          <w:tcPr>
            <w:tcW w:w="1784" w:type="dxa"/>
            <w:tcBorders>
              <w:tl2br w:val="nil"/>
              <w:tr2bl w:val="nil"/>
            </w:tcBorders>
            <w:shd w:val="clear" w:color="auto" w:fill="auto"/>
            <w:noWrap w:val="0"/>
            <w:vAlign w:val="center"/>
          </w:tcPr>
          <w:p w14:paraId="561C9040">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5945298C">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7BF74A57">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0AAFA263">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72C61D08">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27E30320">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6C56025C">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r>
              <w:rPr>
                <w:rFonts w:hint="default" w:ascii="Times New Roman" w:hAnsi="Times New Roman" w:cs="Times New Roman"/>
                <w:color w:val="auto"/>
                <w:highlight w:val="none"/>
              </w:rPr>
              <w:t>t/a</w:t>
            </w:r>
          </w:p>
        </w:tc>
      </w:tr>
      <w:tr w14:paraId="4E3C0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4E91AE09">
            <w:pPr>
              <w:pStyle w:val="47"/>
              <w:bidi w:val="0"/>
              <w:rPr>
                <w:rFonts w:hint="default" w:ascii="Times New Roman" w:hAnsi="Times New Roman" w:cs="Times New Roman"/>
                <w:color w:val="auto"/>
                <w:highlight w:val="none"/>
              </w:rPr>
            </w:pPr>
          </w:p>
        </w:tc>
        <w:tc>
          <w:tcPr>
            <w:tcW w:w="1486" w:type="dxa"/>
            <w:tcBorders>
              <w:tl2br w:val="nil"/>
              <w:tr2bl w:val="nil"/>
            </w:tcBorders>
            <w:shd w:val="clear" w:color="auto" w:fill="auto"/>
            <w:noWrap w:val="0"/>
            <w:vAlign w:val="center"/>
          </w:tcPr>
          <w:p w14:paraId="6EB363ED">
            <w:pPr>
              <w:pStyle w:val="47"/>
              <w:bidi w:val="0"/>
              <w:ind w:firstLine="0" w:firstLineChars="0"/>
              <w:rPr>
                <w:rFonts w:hint="default" w:cs="Times New Roman"/>
                <w:color w:val="auto"/>
                <w:highlight w:val="none"/>
                <w:lang w:val="en-US" w:eastAsia="zh-CN"/>
              </w:rPr>
            </w:pPr>
            <w:r>
              <w:rPr>
                <w:rFonts w:hint="eastAsia" w:cs="Times New Roman"/>
                <w:color w:val="auto"/>
                <w:highlight w:val="none"/>
                <w:lang w:val="en-US" w:eastAsia="zh-CN"/>
              </w:rPr>
              <w:t>废布袋</w:t>
            </w:r>
          </w:p>
        </w:tc>
        <w:tc>
          <w:tcPr>
            <w:tcW w:w="1784" w:type="dxa"/>
            <w:tcBorders>
              <w:tl2br w:val="nil"/>
              <w:tr2bl w:val="nil"/>
            </w:tcBorders>
            <w:shd w:val="clear" w:color="auto" w:fill="auto"/>
            <w:noWrap w:val="0"/>
            <w:vAlign w:val="center"/>
          </w:tcPr>
          <w:p w14:paraId="1873271D">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65A1C0ED">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5BEAA86A">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4BA292FB">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65BC09E1">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357825FB">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051A3045">
            <w:pPr>
              <w:pStyle w:val="47"/>
              <w:bidi w:val="0"/>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r>
              <w:rPr>
                <w:rFonts w:hint="default" w:ascii="Times New Roman" w:hAnsi="Times New Roman" w:cs="Times New Roman"/>
                <w:color w:val="auto"/>
                <w:highlight w:val="none"/>
              </w:rPr>
              <w:t>t/a</w:t>
            </w:r>
          </w:p>
        </w:tc>
      </w:tr>
      <w:tr w14:paraId="4887F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continue"/>
            <w:tcBorders>
              <w:tl2br w:val="nil"/>
              <w:tr2bl w:val="nil"/>
            </w:tcBorders>
            <w:noWrap w:val="0"/>
            <w:vAlign w:val="center"/>
          </w:tcPr>
          <w:p w14:paraId="36DF216E">
            <w:pPr>
              <w:pStyle w:val="47"/>
              <w:bidi w:val="0"/>
              <w:rPr>
                <w:rFonts w:hint="default" w:ascii="Times New Roman" w:hAnsi="Times New Roman" w:cs="Times New Roman"/>
                <w:color w:val="auto"/>
                <w:highlight w:val="none"/>
              </w:rPr>
            </w:pPr>
          </w:p>
        </w:tc>
        <w:tc>
          <w:tcPr>
            <w:tcW w:w="1486" w:type="dxa"/>
            <w:tcBorders>
              <w:tl2br w:val="nil"/>
              <w:tr2bl w:val="nil"/>
            </w:tcBorders>
            <w:shd w:val="clear" w:color="auto" w:fill="auto"/>
            <w:noWrap w:val="0"/>
            <w:vAlign w:val="center"/>
          </w:tcPr>
          <w:p w14:paraId="79B75FC1">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脱硫</w:t>
            </w:r>
            <w:r>
              <w:rPr>
                <w:rFonts w:hint="default" w:ascii="Times New Roman" w:hAnsi="Times New Roman" w:cs="Times New Roman"/>
                <w:color w:val="auto"/>
                <w:highlight w:val="none"/>
              </w:rPr>
              <w:t>石膏</w:t>
            </w:r>
          </w:p>
        </w:tc>
        <w:tc>
          <w:tcPr>
            <w:tcW w:w="1784" w:type="dxa"/>
            <w:tcBorders>
              <w:tl2br w:val="nil"/>
              <w:tr2bl w:val="nil"/>
            </w:tcBorders>
            <w:shd w:val="clear" w:color="auto" w:fill="auto"/>
            <w:noWrap w:val="0"/>
            <w:vAlign w:val="center"/>
          </w:tcPr>
          <w:p w14:paraId="2CC76178">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338" w:type="dxa"/>
            <w:tcBorders>
              <w:tl2br w:val="nil"/>
              <w:tr2bl w:val="nil"/>
            </w:tcBorders>
            <w:shd w:val="clear" w:color="auto" w:fill="auto"/>
            <w:noWrap w:val="0"/>
            <w:vAlign w:val="center"/>
          </w:tcPr>
          <w:p w14:paraId="656FA370">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784" w:type="dxa"/>
            <w:tcBorders>
              <w:tl2br w:val="nil"/>
              <w:tr2bl w:val="nil"/>
            </w:tcBorders>
            <w:shd w:val="clear" w:color="auto" w:fill="auto"/>
            <w:noWrap w:val="0"/>
            <w:vAlign w:val="center"/>
          </w:tcPr>
          <w:p w14:paraId="0B5CF23B">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635" w:type="dxa"/>
            <w:tcBorders>
              <w:tl2br w:val="nil"/>
              <w:tr2bl w:val="nil"/>
            </w:tcBorders>
            <w:shd w:val="clear" w:color="auto" w:fill="auto"/>
            <w:noWrap w:val="0"/>
            <w:vAlign w:val="center"/>
          </w:tcPr>
          <w:p w14:paraId="4B2F8C23">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22.06</w:t>
            </w:r>
            <w:r>
              <w:rPr>
                <w:rFonts w:hint="default" w:ascii="Times New Roman" w:hAnsi="Times New Roman" w:cs="Times New Roman"/>
                <w:color w:val="auto"/>
                <w:highlight w:val="none"/>
              </w:rPr>
              <w:t>t/a</w:t>
            </w:r>
          </w:p>
        </w:tc>
        <w:tc>
          <w:tcPr>
            <w:tcW w:w="1586" w:type="dxa"/>
            <w:tcBorders>
              <w:tl2br w:val="nil"/>
              <w:tr2bl w:val="nil"/>
            </w:tcBorders>
            <w:shd w:val="clear" w:color="auto" w:fill="auto"/>
            <w:noWrap w:val="0"/>
            <w:vAlign w:val="center"/>
          </w:tcPr>
          <w:p w14:paraId="73C75A6A">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w:t>
            </w:r>
          </w:p>
        </w:tc>
        <w:tc>
          <w:tcPr>
            <w:tcW w:w="1823" w:type="dxa"/>
            <w:tcBorders>
              <w:tl2br w:val="nil"/>
              <w:tr2bl w:val="nil"/>
            </w:tcBorders>
            <w:shd w:val="clear" w:color="auto" w:fill="auto"/>
            <w:noWrap w:val="0"/>
            <w:vAlign w:val="center"/>
          </w:tcPr>
          <w:p w14:paraId="4700B687">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22.06</w:t>
            </w:r>
            <w:r>
              <w:rPr>
                <w:rFonts w:hint="default" w:ascii="Times New Roman" w:hAnsi="Times New Roman" w:cs="Times New Roman"/>
                <w:color w:val="auto"/>
                <w:highlight w:val="none"/>
              </w:rPr>
              <w:t>t/a</w:t>
            </w:r>
          </w:p>
        </w:tc>
        <w:tc>
          <w:tcPr>
            <w:tcW w:w="1357" w:type="dxa"/>
            <w:tcBorders>
              <w:tl2br w:val="nil"/>
              <w:tr2bl w:val="nil"/>
            </w:tcBorders>
            <w:shd w:val="clear" w:color="auto" w:fill="auto"/>
            <w:noWrap w:val="0"/>
            <w:vAlign w:val="center"/>
          </w:tcPr>
          <w:p w14:paraId="1D4C9860">
            <w:pPr>
              <w:pStyle w:val="47"/>
              <w:bidi w:val="0"/>
              <w:ind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+22.06</w:t>
            </w:r>
            <w:r>
              <w:rPr>
                <w:rFonts w:hint="default" w:ascii="Times New Roman" w:hAnsi="Times New Roman" w:cs="Times New Roman"/>
                <w:color w:val="auto"/>
                <w:highlight w:val="none"/>
              </w:rPr>
              <w:t>t/a</w:t>
            </w:r>
          </w:p>
        </w:tc>
      </w:tr>
      <w:tr w14:paraId="0869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3" w:type="dxa"/>
            <w:vMerge w:val="restart"/>
            <w:tcBorders>
              <w:tl2br w:val="nil"/>
              <w:tr2bl w:val="nil"/>
            </w:tcBorders>
            <w:noWrap w:val="0"/>
            <w:vAlign w:val="center"/>
          </w:tcPr>
          <w:p w14:paraId="2D0DD96D">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w:t>
            </w:r>
          </w:p>
        </w:tc>
        <w:tc>
          <w:tcPr>
            <w:tcW w:w="1486" w:type="dxa"/>
            <w:tcBorders>
              <w:tl2br w:val="nil"/>
              <w:tr2bl w:val="nil"/>
            </w:tcBorders>
            <w:noWrap w:val="0"/>
            <w:vAlign w:val="center"/>
          </w:tcPr>
          <w:p w14:paraId="5145EA7B">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含油抹布</w:t>
            </w:r>
          </w:p>
        </w:tc>
        <w:tc>
          <w:tcPr>
            <w:tcW w:w="1784" w:type="dxa"/>
            <w:tcBorders>
              <w:tl2br w:val="nil"/>
              <w:tr2bl w:val="nil"/>
            </w:tcBorders>
            <w:noWrap w:val="0"/>
            <w:vAlign w:val="center"/>
          </w:tcPr>
          <w:p w14:paraId="4187836B">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590CE8A3">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6115CD74">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203E080E">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w:t>
            </w:r>
            <w:r>
              <w:rPr>
                <w:rFonts w:hint="default" w:ascii="Times New Roman" w:hAnsi="Times New Roman" w:cs="Times New Roman"/>
                <w:color w:val="auto"/>
                <w:highlight w:val="none"/>
                <w:lang w:val="en-US" w:eastAsia="zh-CN"/>
              </w:rPr>
              <w:t>05t/a</w:t>
            </w:r>
          </w:p>
        </w:tc>
        <w:tc>
          <w:tcPr>
            <w:tcW w:w="1586" w:type="dxa"/>
            <w:tcBorders>
              <w:tl2br w:val="nil"/>
              <w:tr2bl w:val="nil"/>
            </w:tcBorders>
            <w:noWrap w:val="0"/>
            <w:vAlign w:val="center"/>
          </w:tcPr>
          <w:p w14:paraId="4408B5A9">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524C1684">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0.</w:t>
            </w:r>
            <w:r>
              <w:rPr>
                <w:rFonts w:hint="default" w:ascii="Times New Roman" w:hAnsi="Times New Roman" w:cs="Times New Roman"/>
                <w:color w:val="auto"/>
                <w:highlight w:val="none"/>
                <w:lang w:val="en-US" w:eastAsia="zh-CN"/>
              </w:rPr>
              <w:t>05t/a</w:t>
            </w:r>
          </w:p>
        </w:tc>
        <w:tc>
          <w:tcPr>
            <w:tcW w:w="1357" w:type="dxa"/>
            <w:tcBorders>
              <w:tl2br w:val="nil"/>
              <w:tr2bl w:val="nil"/>
            </w:tcBorders>
            <w:noWrap w:val="0"/>
            <w:vAlign w:val="center"/>
          </w:tcPr>
          <w:p w14:paraId="113B0F9D">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0.</w:t>
            </w:r>
            <w:r>
              <w:rPr>
                <w:rFonts w:hint="default" w:ascii="Times New Roman" w:hAnsi="Times New Roman" w:cs="Times New Roman"/>
                <w:color w:val="auto"/>
                <w:highlight w:val="none"/>
                <w:lang w:val="en-US" w:eastAsia="zh-CN"/>
              </w:rPr>
              <w:t>05t/a</w:t>
            </w:r>
          </w:p>
        </w:tc>
      </w:tr>
      <w:tr w14:paraId="7EDD7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3" w:type="dxa"/>
            <w:vMerge w:val="continue"/>
            <w:tcBorders>
              <w:tl2br w:val="nil"/>
              <w:tr2bl w:val="nil"/>
            </w:tcBorders>
            <w:noWrap w:val="0"/>
            <w:vAlign w:val="center"/>
          </w:tcPr>
          <w:p w14:paraId="22782E0D">
            <w:pPr>
              <w:pStyle w:val="47"/>
              <w:bidi w:val="0"/>
              <w:rPr>
                <w:rFonts w:hint="default" w:ascii="Times New Roman" w:hAnsi="Times New Roman" w:cs="Times New Roman"/>
                <w:color w:val="auto"/>
                <w:highlight w:val="none"/>
              </w:rPr>
            </w:pPr>
          </w:p>
        </w:tc>
        <w:tc>
          <w:tcPr>
            <w:tcW w:w="1486" w:type="dxa"/>
            <w:tcBorders>
              <w:tl2br w:val="nil"/>
              <w:tr2bl w:val="nil"/>
            </w:tcBorders>
            <w:noWrap w:val="0"/>
            <w:vAlign w:val="center"/>
          </w:tcPr>
          <w:p w14:paraId="5C1DE18D">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废机油</w:t>
            </w:r>
          </w:p>
        </w:tc>
        <w:tc>
          <w:tcPr>
            <w:tcW w:w="1784" w:type="dxa"/>
            <w:tcBorders>
              <w:tl2br w:val="nil"/>
              <w:tr2bl w:val="nil"/>
            </w:tcBorders>
            <w:noWrap w:val="0"/>
            <w:vAlign w:val="center"/>
          </w:tcPr>
          <w:p w14:paraId="07FA289F">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5CCDFDC8">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2647A398">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66453FBD">
            <w:pPr>
              <w:pStyle w:val="4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t/a</w:t>
            </w:r>
          </w:p>
        </w:tc>
        <w:tc>
          <w:tcPr>
            <w:tcW w:w="1586" w:type="dxa"/>
            <w:tcBorders>
              <w:tl2br w:val="nil"/>
              <w:tr2bl w:val="nil"/>
            </w:tcBorders>
            <w:noWrap w:val="0"/>
            <w:vAlign w:val="center"/>
          </w:tcPr>
          <w:p w14:paraId="3FAFD579">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532EE239">
            <w:pPr>
              <w:pStyle w:val="47"/>
              <w:bidi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t/a</w:t>
            </w:r>
          </w:p>
        </w:tc>
        <w:tc>
          <w:tcPr>
            <w:tcW w:w="1357" w:type="dxa"/>
            <w:tcBorders>
              <w:tl2br w:val="nil"/>
              <w:tr2bl w:val="nil"/>
            </w:tcBorders>
            <w:noWrap w:val="0"/>
            <w:vAlign w:val="center"/>
          </w:tcPr>
          <w:p w14:paraId="4DBBB821">
            <w:pPr>
              <w:pStyle w:val="47"/>
              <w:bidi w:val="0"/>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t/a</w:t>
            </w:r>
          </w:p>
        </w:tc>
      </w:tr>
      <w:tr w14:paraId="75DAE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3" w:type="dxa"/>
            <w:vMerge w:val="continue"/>
            <w:tcBorders>
              <w:tl2br w:val="nil"/>
              <w:tr2bl w:val="nil"/>
            </w:tcBorders>
            <w:noWrap w:val="0"/>
            <w:vAlign w:val="center"/>
          </w:tcPr>
          <w:p w14:paraId="57C1B4BF">
            <w:pPr>
              <w:pStyle w:val="47"/>
              <w:bidi w:val="0"/>
              <w:ind w:firstLine="0" w:firstLineChars="0"/>
              <w:rPr>
                <w:color w:val="auto"/>
                <w:highlight w:val="none"/>
              </w:rPr>
            </w:pPr>
          </w:p>
        </w:tc>
        <w:tc>
          <w:tcPr>
            <w:tcW w:w="1486" w:type="dxa"/>
            <w:tcBorders>
              <w:tl2br w:val="nil"/>
              <w:tr2bl w:val="nil"/>
            </w:tcBorders>
            <w:noWrap w:val="0"/>
            <w:vAlign w:val="center"/>
          </w:tcPr>
          <w:p w14:paraId="4F4E0240">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废油桶</w:t>
            </w:r>
          </w:p>
        </w:tc>
        <w:tc>
          <w:tcPr>
            <w:tcW w:w="1784" w:type="dxa"/>
            <w:tcBorders>
              <w:tl2br w:val="nil"/>
              <w:tr2bl w:val="nil"/>
            </w:tcBorders>
            <w:noWrap w:val="0"/>
            <w:vAlign w:val="center"/>
          </w:tcPr>
          <w:p w14:paraId="53FBC854">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338" w:type="dxa"/>
            <w:tcBorders>
              <w:tl2br w:val="nil"/>
              <w:tr2bl w:val="nil"/>
            </w:tcBorders>
            <w:noWrap w:val="0"/>
            <w:vAlign w:val="center"/>
          </w:tcPr>
          <w:p w14:paraId="055F850B">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784" w:type="dxa"/>
            <w:tcBorders>
              <w:tl2br w:val="nil"/>
              <w:tr2bl w:val="nil"/>
            </w:tcBorders>
            <w:noWrap w:val="0"/>
            <w:vAlign w:val="center"/>
          </w:tcPr>
          <w:p w14:paraId="1F7C1862">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635" w:type="dxa"/>
            <w:tcBorders>
              <w:tl2br w:val="nil"/>
              <w:tr2bl w:val="nil"/>
            </w:tcBorders>
            <w:noWrap w:val="0"/>
            <w:vAlign w:val="center"/>
          </w:tcPr>
          <w:p w14:paraId="59DAF1C4">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0.02</w:t>
            </w:r>
            <w:r>
              <w:rPr>
                <w:rFonts w:hint="default" w:ascii="Times New Roman" w:hAnsi="Times New Roman" w:cs="Times New Roman"/>
                <w:color w:val="auto"/>
                <w:highlight w:val="none"/>
                <w:lang w:val="en-US" w:eastAsia="zh-CN"/>
              </w:rPr>
              <w:t>t/a</w:t>
            </w:r>
          </w:p>
        </w:tc>
        <w:tc>
          <w:tcPr>
            <w:tcW w:w="1586" w:type="dxa"/>
            <w:tcBorders>
              <w:tl2br w:val="nil"/>
              <w:tr2bl w:val="nil"/>
            </w:tcBorders>
            <w:noWrap w:val="0"/>
            <w:vAlign w:val="center"/>
          </w:tcPr>
          <w:p w14:paraId="0B1D08D4">
            <w:pPr>
              <w:pStyle w:val="47"/>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823" w:type="dxa"/>
            <w:tcBorders>
              <w:tl2br w:val="nil"/>
              <w:tr2bl w:val="nil"/>
            </w:tcBorders>
            <w:noWrap w:val="0"/>
            <w:vAlign w:val="center"/>
          </w:tcPr>
          <w:p w14:paraId="653FF461">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0.02</w:t>
            </w:r>
            <w:r>
              <w:rPr>
                <w:rFonts w:hint="default" w:ascii="Times New Roman" w:hAnsi="Times New Roman" w:cs="Times New Roman"/>
                <w:color w:val="auto"/>
                <w:highlight w:val="none"/>
                <w:lang w:val="en-US" w:eastAsia="zh-CN"/>
              </w:rPr>
              <w:t>t/a</w:t>
            </w:r>
          </w:p>
        </w:tc>
        <w:tc>
          <w:tcPr>
            <w:tcW w:w="1357" w:type="dxa"/>
            <w:tcBorders>
              <w:tl2br w:val="nil"/>
              <w:tr2bl w:val="nil"/>
            </w:tcBorders>
            <w:noWrap w:val="0"/>
            <w:vAlign w:val="center"/>
          </w:tcPr>
          <w:p w14:paraId="53B8DB9D">
            <w:pPr>
              <w:pStyle w:val="47"/>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+0.02</w:t>
            </w:r>
            <w:r>
              <w:rPr>
                <w:rFonts w:hint="default" w:ascii="Times New Roman" w:hAnsi="Times New Roman" w:cs="Times New Roman"/>
                <w:color w:val="auto"/>
                <w:highlight w:val="none"/>
                <w:lang w:val="en-US" w:eastAsia="zh-CN"/>
              </w:rPr>
              <w:t>t/a</w:t>
            </w:r>
          </w:p>
        </w:tc>
      </w:tr>
    </w:tbl>
    <w:p w14:paraId="533440A4">
      <w:pPr>
        <w:pStyle w:val="35"/>
        <w:spacing w:before="192" w:beforeLines="80" w:after="24"/>
        <w:jc w:val="left"/>
        <w:rPr>
          <w:rFonts w:hint="default" w:ascii="Times New Roman" w:hAnsi="Times New Roman" w:cs="Times New Roman"/>
          <w:color w:val="auto"/>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DEA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7A70B">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57A70B">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4ADBF"/>
    <w:multiLevelType w:val="singleLevel"/>
    <w:tmpl w:val="F834ADBF"/>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137891D5"/>
    <w:multiLevelType w:val="singleLevel"/>
    <w:tmpl w:val="137891D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7211A"/>
    <w:rsid w:val="00047BA4"/>
    <w:rsid w:val="00292601"/>
    <w:rsid w:val="005A0B08"/>
    <w:rsid w:val="005C6ADC"/>
    <w:rsid w:val="006B39AF"/>
    <w:rsid w:val="00764C5D"/>
    <w:rsid w:val="009F2851"/>
    <w:rsid w:val="00BA7CA7"/>
    <w:rsid w:val="010A5112"/>
    <w:rsid w:val="011032FE"/>
    <w:rsid w:val="011E0F4E"/>
    <w:rsid w:val="013F4335"/>
    <w:rsid w:val="014A4B87"/>
    <w:rsid w:val="01543C57"/>
    <w:rsid w:val="01575D64"/>
    <w:rsid w:val="01761E20"/>
    <w:rsid w:val="019D55FE"/>
    <w:rsid w:val="01A26771"/>
    <w:rsid w:val="01A7647D"/>
    <w:rsid w:val="01A82550"/>
    <w:rsid w:val="01E1703D"/>
    <w:rsid w:val="01EA5D5E"/>
    <w:rsid w:val="01FC52F7"/>
    <w:rsid w:val="020C17DE"/>
    <w:rsid w:val="022655F4"/>
    <w:rsid w:val="02816CCE"/>
    <w:rsid w:val="0283431E"/>
    <w:rsid w:val="02B349AE"/>
    <w:rsid w:val="02BB01B7"/>
    <w:rsid w:val="02BE1E93"/>
    <w:rsid w:val="02C848C9"/>
    <w:rsid w:val="02E35293"/>
    <w:rsid w:val="03125B78"/>
    <w:rsid w:val="031554B0"/>
    <w:rsid w:val="0317318F"/>
    <w:rsid w:val="03433F84"/>
    <w:rsid w:val="035179D4"/>
    <w:rsid w:val="03595555"/>
    <w:rsid w:val="037759DB"/>
    <w:rsid w:val="03797397"/>
    <w:rsid w:val="03A208C2"/>
    <w:rsid w:val="03A367D0"/>
    <w:rsid w:val="03C2759E"/>
    <w:rsid w:val="03DF6480"/>
    <w:rsid w:val="04016A33"/>
    <w:rsid w:val="040A2CF3"/>
    <w:rsid w:val="04125FCD"/>
    <w:rsid w:val="041627DB"/>
    <w:rsid w:val="04227F1D"/>
    <w:rsid w:val="0446766D"/>
    <w:rsid w:val="044C6F89"/>
    <w:rsid w:val="045063D8"/>
    <w:rsid w:val="046C12B8"/>
    <w:rsid w:val="047168CE"/>
    <w:rsid w:val="0475494B"/>
    <w:rsid w:val="048E56D2"/>
    <w:rsid w:val="049A4077"/>
    <w:rsid w:val="04A46CA4"/>
    <w:rsid w:val="04BD38C2"/>
    <w:rsid w:val="04EB6681"/>
    <w:rsid w:val="04ED72D2"/>
    <w:rsid w:val="04F4164F"/>
    <w:rsid w:val="050B49CE"/>
    <w:rsid w:val="05321E86"/>
    <w:rsid w:val="054F6C10"/>
    <w:rsid w:val="0559166F"/>
    <w:rsid w:val="05677BFA"/>
    <w:rsid w:val="05680224"/>
    <w:rsid w:val="059843B9"/>
    <w:rsid w:val="05B253F0"/>
    <w:rsid w:val="05BE3D95"/>
    <w:rsid w:val="05C75A7F"/>
    <w:rsid w:val="06135229"/>
    <w:rsid w:val="0616597F"/>
    <w:rsid w:val="06224324"/>
    <w:rsid w:val="06231E4A"/>
    <w:rsid w:val="0636761A"/>
    <w:rsid w:val="06A74829"/>
    <w:rsid w:val="06CB49BC"/>
    <w:rsid w:val="070457D8"/>
    <w:rsid w:val="0744651C"/>
    <w:rsid w:val="077566D6"/>
    <w:rsid w:val="077869CA"/>
    <w:rsid w:val="07992EF9"/>
    <w:rsid w:val="07C136C9"/>
    <w:rsid w:val="07D13E50"/>
    <w:rsid w:val="07DF16DE"/>
    <w:rsid w:val="08002443"/>
    <w:rsid w:val="080E352C"/>
    <w:rsid w:val="080F08D8"/>
    <w:rsid w:val="08113165"/>
    <w:rsid w:val="08114650"/>
    <w:rsid w:val="08163A15"/>
    <w:rsid w:val="082D6FB0"/>
    <w:rsid w:val="08332819"/>
    <w:rsid w:val="083B32C8"/>
    <w:rsid w:val="084B123D"/>
    <w:rsid w:val="084D29B5"/>
    <w:rsid w:val="084E7652"/>
    <w:rsid w:val="085D6857"/>
    <w:rsid w:val="08767CAE"/>
    <w:rsid w:val="087C3485"/>
    <w:rsid w:val="088C3CD7"/>
    <w:rsid w:val="08A41A46"/>
    <w:rsid w:val="08A71364"/>
    <w:rsid w:val="08B60D54"/>
    <w:rsid w:val="08C43471"/>
    <w:rsid w:val="08F62C92"/>
    <w:rsid w:val="08F66BA3"/>
    <w:rsid w:val="093E76C7"/>
    <w:rsid w:val="096802A0"/>
    <w:rsid w:val="097376C9"/>
    <w:rsid w:val="099E1F14"/>
    <w:rsid w:val="09B23C11"/>
    <w:rsid w:val="09D05E45"/>
    <w:rsid w:val="09D77460"/>
    <w:rsid w:val="09E35B78"/>
    <w:rsid w:val="09EE41C9"/>
    <w:rsid w:val="09FC6C3A"/>
    <w:rsid w:val="0A426D43"/>
    <w:rsid w:val="0A6A0048"/>
    <w:rsid w:val="0A9B4D34"/>
    <w:rsid w:val="0AB44F2F"/>
    <w:rsid w:val="0ABA0FCF"/>
    <w:rsid w:val="0AD35565"/>
    <w:rsid w:val="0AE56EA7"/>
    <w:rsid w:val="0AE620C9"/>
    <w:rsid w:val="0B097861"/>
    <w:rsid w:val="0B185CF6"/>
    <w:rsid w:val="0B372620"/>
    <w:rsid w:val="0B4C2F0B"/>
    <w:rsid w:val="0B4F7789"/>
    <w:rsid w:val="0B5036E2"/>
    <w:rsid w:val="0B597A11"/>
    <w:rsid w:val="0B632132"/>
    <w:rsid w:val="0B87211A"/>
    <w:rsid w:val="0B8D2240"/>
    <w:rsid w:val="0B914775"/>
    <w:rsid w:val="0BBA0B5B"/>
    <w:rsid w:val="0BC96FF0"/>
    <w:rsid w:val="0BD074EE"/>
    <w:rsid w:val="0C0D3381"/>
    <w:rsid w:val="0C105441"/>
    <w:rsid w:val="0C1058DE"/>
    <w:rsid w:val="0C2C7CAB"/>
    <w:rsid w:val="0C3951CC"/>
    <w:rsid w:val="0C670CE3"/>
    <w:rsid w:val="0C6F084D"/>
    <w:rsid w:val="0C707C58"/>
    <w:rsid w:val="0C79544A"/>
    <w:rsid w:val="0C964055"/>
    <w:rsid w:val="0C9D4705"/>
    <w:rsid w:val="0CAF268A"/>
    <w:rsid w:val="0CB376A1"/>
    <w:rsid w:val="0CCA1C47"/>
    <w:rsid w:val="0CCD48BE"/>
    <w:rsid w:val="0CCE2586"/>
    <w:rsid w:val="0CD345CA"/>
    <w:rsid w:val="0CEE31B2"/>
    <w:rsid w:val="0D021757"/>
    <w:rsid w:val="0D3A1F53"/>
    <w:rsid w:val="0D51729D"/>
    <w:rsid w:val="0D6B65B1"/>
    <w:rsid w:val="0D7776C2"/>
    <w:rsid w:val="0DBC0BBA"/>
    <w:rsid w:val="0DC43F13"/>
    <w:rsid w:val="0DD75B9C"/>
    <w:rsid w:val="0E1D0828"/>
    <w:rsid w:val="0E3C1CFB"/>
    <w:rsid w:val="0E527771"/>
    <w:rsid w:val="0E747874"/>
    <w:rsid w:val="0E990EFC"/>
    <w:rsid w:val="0E9C5765"/>
    <w:rsid w:val="0EB7277D"/>
    <w:rsid w:val="0EC90FB6"/>
    <w:rsid w:val="0EE951FC"/>
    <w:rsid w:val="0EF461D9"/>
    <w:rsid w:val="0F423341"/>
    <w:rsid w:val="0F4557DB"/>
    <w:rsid w:val="0FC4644C"/>
    <w:rsid w:val="0FCF50F3"/>
    <w:rsid w:val="0FE467C4"/>
    <w:rsid w:val="0FEF171B"/>
    <w:rsid w:val="10030D22"/>
    <w:rsid w:val="101B6E73"/>
    <w:rsid w:val="1021564D"/>
    <w:rsid w:val="1030763E"/>
    <w:rsid w:val="10AA2A10"/>
    <w:rsid w:val="10B74439"/>
    <w:rsid w:val="110E2309"/>
    <w:rsid w:val="1158509E"/>
    <w:rsid w:val="118C1F04"/>
    <w:rsid w:val="119F3307"/>
    <w:rsid w:val="11B322D4"/>
    <w:rsid w:val="11C12856"/>
    <w:rsid w:val="11C83359"/>
    <w:rsid w:val="11E20E0C"/>
    <w:rsid w:val="11F1104F"/>
    <w:rsid w:val="120A6EEB"/>
    <w:rsid w:val="12194ADA"/>
    <w:rsid w:val="121A0EEA"/>
    <w:rsid w:val="121F3E0E"/>
    <w:rsid w:val="125C18C7"/>
    <w:rsid w:val="12747DBB"/>
    <w:rsid w:val="12753F36"/>
    <w:rsid w:val="128679E9"/>
    <w:rsid w:val="12A36FFB"/>
    <w:rsid w:val="12B70C15"/>
    <w:rsid w:val="12CF07F6"/>
    <w:rsid w:val="12DE5A77"/>
    <w:rsid w:val="12F64062"/>
    <w:rsid w:val="130A686C"/>
    <w:rsid w:val="130B186B"/>
    <w:rsid w:val="130B4E1E"/>
    <w:rsid w:val="1329102B"/>
    <w:rsid w:val="13A24CF6"/>
    <w:rsid w:val="13CA4FBE"/>
    <w:rsid w:val="13D33102"/>
    <w:rsid w:val="13EC5B9F"/>
    <w:rsid w:val="147C5547"/>
    <w:rsid w:val="148A7C64"/>
    <w:rsid w:val="148B1ADF"/>
    <w:rsid w:val="148D138A"/>
    <w:rsid w:val="14CB1277"/>
    <w:rsid w:val="14D0319D"/>
    <w:rsid w:val="14DB47EB"/>
    <w:rsid w:val="150C7198"/>
    <w:rsid w:val="151F2A51"/>
    <w:rsid w:val="152D05F0"/>
    <w:rsid w:val="155E2399"/>
    <w:rsid w:val="15980968"/>
    <w:rsid w:val="159B473B"/>
    <w:rsid w:val="159C237E"/>
    <w:rsid w:val="15AC3C0A"/>
    <w:rsid w:val="15BC6814"/>
    <w:rsid w:val="162C3BE2"/>
    <w:rsid w:val="16322361"/>
    <w:rsid w:val="16440D8F"/>
    <w:rsid w:val="16A11C51"/>
    <w:rsid w:val="16A843D2"/>
    <w:rsid w:val="16C00B8C"/>
    <w:rsid w:val="16E278D1"/>
    <w:rsid w:val="16EA7603"/>
    <w:rsid w:val="17206E08"/>
    <w:rsid w:val="175233D3"/>
    <w:rsid w:val="176F4EEF"/>
    <w:rsid w:val="178401EA"/>
    <w:rsid w:val="178D793B"/>
    <w:rsid w:val="17A821AF"/>
    <w:rsid w:val="17A83E93"/>
    <w:rsid w:val="17D8141D"/>
    <w:rsid w:val="17E458DD"/>
    <w:rsid w:val="17F90C5D"/>
    <w:rsid w:val="18285F1D"/>
    <w:rsid w:val="18972950"/>
    <w:rsid w:val="189E4B5C"/>
    <w:rsid w:val="18AE37F5"/>
    <w:rsid w:val="18B13701"/>
    <w:rsid w:val="18DF60A5"/>
    <w:rsid w:val="18FE4550"/>
    <w:rsid w:val="19137AFC"/>
    <w:rsid w:val="19342DA4"/>
    <w:rsid w:val="19393A07"/>
    <w:rsid w:val="196E4091"/>
    <w:rsid w:val="19702CE7"/>
    <w:rsid w:val="199E6903"/>
    <w:rsid w:val="19B175FA"/>
    <w:rsid w:val="19BB1D67"/>
    <w:rsid w:val="19C71013"/>
    <w:rsid w:val="19E41BC5"/>
    <w:rsid w:val="19EE0467"/>
    <w:rsid w:val="19F416DC"/>
    <w:rsid w:val="1A004525"/>
    <w:rsid w:val="1A09162B"/>
    <w:rsid w:val="1A2C1DF1"/>
    <w:rsid w:val="1A442027"/>
    <w:rsid w:val="1A57535F"/>
    <w:rsid w:val="1A7F31EF"/>
    <w:rsid w:val="1A8970D5"/>
    <w:rsid w:val="1A9D1D74"/>
    <w:rsid w:val="1AAE42B7"/>
    <w:rsid w:val="1AC95389"/>
    <w:rsid w:val="1ACB4B33"/>
    <w:rsid w:val="1AD82DAC"/>
    <w:rsid w:val="1AE14356"/>
    <w:rsid w:val="1AE63A32"/>
    <w:rsid w:val="1AF000F5"/>
    <w:rsid w:val="1B0437FA"/>
    <w:rsid w:val="1B160FC9"/>
    <w:rsid w:val="1B4D72F6"/>
    <w:rsid w:val="1B5B12DF"/>
    <w:rsid w:val="1B6F1962"/>
    <w:rsid w:val="1B7F1479"/>
    <w:rsid w:val="1B9A1EBC"/>
    <w:rsid w:val="1BB0004C"/>
    <w:rsid w:val="1BC06F9C"/>
    <w:rsid w:val="1BCD54C9"/>
    <w:rsid w:val="1BE0016A"/>
    <w:rsid w:val="1BFB1448"/>
    <w:rsid w:val="1C170351"/>
    <w:rsid w:val="1C454471"/>
    <w:rsid w:val="1C5C78CA"/>
    <w:rsid w:val="1C6074FD"/>
    <w:rsid w:val="1C672627"/>
    <w:rsid w:val="1C682FA0"/>
    <w:rsid w:val="1C746B04"/>
    <w:rsid w:val="1C7C3E5E"/>
    <w:rsid w:val="1CBF2475"/>
    <w:rsid w:val="1CCC06EE"/>
    <w:rsid w:val="1CE11DDF"/>
    <w:rsid w:val="1D3A0070"/>
    <w:rsid w:val="1D525097"/>
    <w:rsid w:val="1D682B0D"/>
    <w:rsid w:val="1DF0665E"/>
    <w:rsid w:val="1DF3687A"/>
    <w:rsid w:val="1E171E3D"/>
    <w:rsid w:val="1E3173A3"/>
    <w:rsid w:val="1E87288F"/>
    <w:rsid w:val="1E984238"/>
    <w:rsid w:val="1E9D67E6"/>
    <w:rsid w:val="1E9E4585"/>
    <w:rsid w:val="1ECE2E43"/>
    <w:rsid w:val="1F1D16D5"/>
    <w:rsid w:val="1F334A54"/>
    <w:rsid w:val="1F430345"/>
    <w:rsid w:val="1F45616A"/>
    <w:rsid w:val="1F642E60"/>
    <w:rsid w:val="1F7061CD"/>
    <w:rsid w:val="1F78690B"/>
    <w:rsid w:val="1F7C464D"/>
    <w:rsid w:val="1F867CA0"/>
    <w:rsid w:val="1F920C03"/>
    <w:rsid w:val="1FE16BA6"/>
    <w:rsid w:val="1FF16DE9"/>
    <w:rsid w:val="20124FB2"/>
    <w:rsid w:val="2020322B"/>
    <w:rsid w:val="20296E0C"/>
    <w:rsid w:val="203179D5"/>
    <w:rsid w:val="20494192"/>
    <w:rsid w:val="208F215E"/>
    <w:rsid w:val="20E419BE"/>
    <w:rsid w:val="21001695"/>
    <w:rsid w:val="21366A7E"/>
    <w:rsid w:val="21447BA0"/>
    <w:rsid w:val="21676C37"/>
    <w:rsid w:val="21910BF0"/>
    <w:rsid w:val="21A34F03"/>
    <w:rsid w:val="21EF55AB"/>
    <w:rsid w:val="21F152FD"/>
    <w:rsid w:val="220D77DF"/>
    <w:rsid w:val="22342360"/>
    <w:rsid w:val="223E208E"/>
    <w:rsid w:val="2241392C"/>
    <w:rsid w:val="22666347"/>
    <w:rsid w:val="228D59FF"/>
    <w:rsid w:val="229879F0"/>
    <w:rsid w:val="229E48DB"/>
    <w:rsid w:val="229E62F1"/>
    <w:rsid w:val="22AB7B04"/>
    <w:rsid w:val="22CF2CE6"/>
    <w:rsid w:val="22EC1387"/>
    <w:rsid w:val="22F6589E"/>
    <w:rsid w:val="230F7587"/>
    <w:rsid w:val="231177A3"/>
    <w:rsid w:val="231C21A4"/>
    <w:rsid w:val="23215B5B"/>
    <w:rsid w:val="233A22BE"/>
    <w:rsid w:val="234C2589"/>
    <w:rsid w:val="235E364C"/>
    <w:rsid w:val="23C8460F"/>
    <w:rsid w:val="23D34A58"/>
    <w:rsid w:val="23E70B53"/>
    <w:rsid w:val="23EE50C5"/>
    <w:rsid w:val="2447715C"/>
    <w:rsid w:val="244957FB"/>
    <w:rsid w:val="244F2331"/>
    <w:rsid w:val="245F1130"/>
    <w:rsid w:val="246079AD"/>
    <w:rsid w:val="246513D4"/>
    <w:rsid w:val="2479115B"/>
    <w:rsid w:val="248D44B0"/>
    <w:rsid w:val="24C86021"/>
    <w:rsid w:val="24CF6FCD"/>
    <w:rsid w:val="24D665AE"/>
    <w:rsid w:val="24D97E4C"/>
    <w:rsid w:val="24FD277C"/>
    <w:rsid w:val="2525288F"/>
    <w:rsid w:val="25270BB7"/>
    <w:rsid w:val="256831EF"/>
    <w:rsid w:val="25710085"/>
    <w:rsid w:val="257419FF"/>
    <w:rsid w:val="257D111F"/>
    <w:rsid w:val="257F27A2"/>
    <w:rsid w:val="25A466AC"/>
    <w:rsid w:val="25A634D3"/>
    <w:rsid w:val="25B97A00"/>
    <w:rsid w:val="25C66622"/>
    <w:rsid w:val="25DC5E46"/>
    <w:rsid w:val="25F6568D"/>
    <w:rsid w:val="2613054F"/>
    <w:rsid w:val="262E03B6"/>
    <w:rsid w:val="26335D0E"/>
    <w:rsid w:val="2640208A"/>
    <w:rsid w:val="264156B6"/>
    <w:rsid w:val="265E2CFF"/>
    <w:rsid w:val="26833736"/>
    <w:rsid w:val="26A80AF7"/>
    <w:rsid w:val="26B06FC9"/>
    <w:rsid w:val="26C07516"/>
    <w:rsid w:val="26C93003"/>
    <w:rsid w:val="27032512"/>
    <w:rsid w:val="27233601"/>
    <w:rsid w:val="27286E69"/>
    <w:rsid w:val="273166F6"/>
    <w:rsid w:val="276A389B"/>
    <w:rsid w:val="27833D0C"/>
    <w:rsid w:val="27912C60"/>
    <w:rsid w:val="27A532E1"/>
    <w:rsid w:val="27B54BA0"/>
    <w:rsid w:val="27C57F06"/>
    <w:rsid w:val="27D33249"/>
    <w:rsid w:val="27F66DAD"/>
    <w:rsid w:val="28084FE0"/>
    <w:rsid w:val="28125B4F"/>
    <w:rsid w:val="282B7401"/>
    <w:rsid w:val="286F11F3"/>
    <w:rsid w:val="28813C95"/>
    <w:rsid w:val="28C0551F"/>
    <w:rsid w:val="29121B7F"/>
    <w:rsid w:val="291F2ABE"/>
    <w:rsid w:val="292860AC"/>
    <w:rsid w:val="29314F66"/>
    <w:rsid w:val="293D029B"/>
    <w:rsid w:val="29453D02"/>
    <w:rsid w:val="2996177C"/>
    <w:rsid w:val="299B0A2F"/>
    <w:rsid w:val="29A0362E"/>
    <w:rsid w:val="29CC78C3"/>
    <w:rsid w:val="2A157B78"/>
    <w:rsid w:val="2A4D6D2C"/>
    <w:rsid w:val="2A4E308A"/>
    <w:rsid w:val="2A5F2BA2"/>
    <w:rsid w:val="2A750617"/>
    <w:rsid w:val="2AA16BB2"/>
    <w:rsid w:val="2AA20171"/>
    <w:rsid w:val="2AA9206F"/>
    <w:rsid w:val="2AAB228B"/>
    <w:rsid w:val="2ACB6489"/>
    <w:rsid w:val="2AEE5165"/>
    <w:rsid w:val="2B043792"/>
    <w:rsid w:val="2B100FAF"/>
    <w:rsid w:val="2B117371"/>
    <w:rsid w:val="2B1C77D3"/>
    <w:rsid w:val="2B2362C5"/>
    <w:rsid w:val="2B29485F"/>
    <w:rsid w:val="2B406E77"/>
    <w:rsid w:val="2B65068C"/>
    <w:rsid w:val="2B6A3EF4"/>
    <w:rsid w:val="2B753869"/>
    <w:rsid w:val="2B787E59"/>
    <w:rsid w:val="2B7C5A1B"/>
    <w:rsid w:val="2B7D59D5"/>
    <w:rsid w:val="2BB67139"/>
    <w:rsid w:val="2BE47802"/>
    <w:rsid w:val="2BE912BD"/>
    <w:rsid w:val="2BEF1E49"/>
    <w:rsid w:val="2C07445C"/>
    <w:rsid w:val="2C3F0EDD"/>
    <w:rsid w:val="2C7915AE"/>
    <w:rsid w:val="2CAA39BD"/>
    <w:rsid w:val="2CB2490E"/>
    <w:rsid w:val="2CD817D0"/>
    <w:rsid w:val="2CE5735B"/>
    <w:rsid w:val="2CF50633"/>
    <w:rsid w:val="2CF94449"/>
    <w:rsid w:val="2D581F18"/>
    <w:rsid w:val="2D6055AE"/>
    <w:rsid w:val="2D8576E9"/>
    <w:rsid w:val="2D8F56BA"/>
    <w:rsid w:val="2DC7118A"/>
    <w:rsid w:val="2DEA30CA"/>
    <w:rsid w:val="2DFB7085"/>
    <w:rsid w:val="2E24038A"/>
    <w:rsid w:val="2E24482E"/>
    <w:rsid w:val="2E7035CF"/>
    <w:rsid w:val="2E821554"/>
    <w:rsid w:val="2EA74B17"/>
    <w:rsid w:val="2EB77450"/>
    <w:rsid w:val="2ED9406F"/>
    <w:rsid w:val="2EEB0EA8"/>
    <w:rsid w:val="2F0F475A"/>
    <w:rsid w:val="2F140E15"/>
    <w:rsid w:val="2F230642"/>
    <w:rsid w:val="2F3A3A5B"/>
    <w:rsid w:val="2F3F11F4"/>
    <w:rsid w:val="2F5471D3"/>
    <w:rsid w:val="2F650C5A"/>
    <w:rsid w:val="2F665F9B"/>
    <w:rsid w:val="2F7418C3"/>
    <w:rsid w:val="2F946B69"/>
    <w:rsid w:val="2FA71028"/>
    <w:rsid w:val="2FB019F0"/>
    <w:rsid w:val="2FBC25A1"/>
    <w:rsid w:val="2FC17E5A"/>
    <w:rsid w:val="2FCA72C2"/>
    <w:rsid w:val="2FCD36D3"/>
    <w:rsid w:val="2FD473DE"/>
    <w:rsid w:val="2FF63413"/>
    <w:rsid w:val="30073ABF"/>
    <w:rsid w:val="30085A89"/>
    <w:rsid w:val="30392C11"/>
    <w:rsid w:val="30466CDD"/>
    <w:rsid w:val="306E785E"/>
    <w:rsid w:val="308F0E4B"/>
    <w:rsid w:val="311068F0"/>
    <w:rsid w:val="31170416"/>
    <w:rsid w:val="312312C2"/>
    <w:rsid w:val="313C3C3D"/>
    <w:rsid w:val="315947EF"/>
    <w:rsid w:val="316C665D"/>
    <w:rsid w:val="316D3DF6"/>
    <w:rsid w:val="31745184"/>
    <w:rsid w:val="31A83080"/>
    <w:rsid w:val="31C06BE4"/>
    <w:rsid w:val="32224C1A"/>
    <w:rsid w:val="32513718"/>
    <w:rsid w:val="327E5D78"/>
    <w:rsid w:val="328202AF"/>
    <w:rsid w:val="32B653FC"/>
    <w:rsid w:val="32C72463"/>
    <w:rsid w:val="32CB34E8"/>
    <w:rsid w:val="32E14A9C"/>
    <w:rsid w:val="33174961"/>
    <w:rsid w:val="33196BD8"/>
    <w:rsid w:val="333E6AA2"/>
    <w:rsid w:val="33596818"/>
    <w:rsid w:val="336C6892"/>
    <w:rsid w:val="336D4581"/>
    <w:rsid w:val="3396675E"/>
    <w:rsid w:val="33973635"/>
    <w:rsid w:val="339A3D3D"/>
    <w:rsid w:val="33A7210E"/>
    <w:rsid w:val="33AB10CB"/>
    <w:rsid w:val="33B95A18"/>
    <w:rsid w:val="33CB00AC"/>
    <w:rsid w:val="345D2848"/>
    <w:rsid w:val="345E211C"/>
    <w:rsid w:val="345F6CD7"/>
    <w:rsid w:val="346A286F"/>
    <w:rsid w:val="34707AF3"/>
    <w:rsid w:val="347E4EA5"/>
    <w:rsid w:val="34E1639F"/>
    <w:rsid w:val="351F3659"/>
    <w:rsid w:val="354136B9"/>
    <w:rsid w:val="35492DCC"/>
    <w:rsid w:val="35613C72"/>
    <w:rsid w:val="356D6ABA"/>
    <w:rsid w:val="35903D7D"/>
    <w:rsid w:val="35995577"/>
    <w:rsid w:val="35BA69F8"/>
    <w:rsid w:val="35C57308"/>
    <w:rsid w:val="35ED704B"/>
    <w:rsid w:val="36074C71"/>
    <w:rsid w:val="361A2073"/>
    <w:rsid w:val="366C0054"/>
    <w:rsid w:val="368A43CE"/>
    <w:rsid w:val="36A116D4"/>
    <w:rsid w:val="36A743DD"/>
    <w:rsid w:val="375E57CE"/>
    <w:rsid w:val="37AF6638"/>
    <w:rsid w:val="37C17C60"/>
    <w:rsid w:val="37EB016A"/>
    <w:rsid w:val="382A4008"/>
    <w:rsid w:val="38303DA7"/>
    <w:rsid w:val="38306237"/>
    <w:rsid w:val="387D277C"/>
    <w:rsid w:val="38A431B7"/>
    <w:rsid w:val="38AD71CE"/>
    <w:rsid w:val="38B67CF6"/>
    <w:rsid w:val="38C51DEA"/>
    <w:rsid w:val="38C74B99"/>
    <w:rsid w:val="38D01806"/>
    <w:rsid w:val="38F512A1"/>
    <w:rsid w:val="38F7035E"/>
    <w:rsid w:val="390B6245"/>
    <w:rsid w:val="391148FB"/>
    <w:rsid w:val="393078B3"/>
    <w:rsid w:val="39396CB4"/>
    <w:rsid w:val="395246CB"/>
    <w:rsid w:val="39565C38"/>
    <w:rsid w:val="395A0970"/>
    <w:rsid w:val="396E78A8"/>
    <w:rsid w:val="397A79F8"/>
    <w:rsid w:val="398E0DAD"/>
    <w:rsid w:val="399565E0"/>
    <w:rsid w:val="39974106"/>
    <w:rsid w:val="39A22AAB"/>
    <w:rsid w:val="39C11183"/>
    <w:rsid w:val="39DF29CA"/>
    <w:rsid w:val="39F14C64"/>
    <w:rsid w:val="39FA4695"/>
    <w:rsid w:val="39FD5F33"/>
    <w:rsid w:val="3A015A23"/>
    <w:rsid w:val="3A2C2A33"/>
    <w:rsid w:val="3A32322C"/>
    <w:rsid w:val="3A973EF6"/>
    <w:rsid w:val="3AAC1E33"/>
    <w:rsid w:val="3B192011"/>
    <w:rsid w:val="3B345984"/>
    <w:rsid w:val="3B5A1539"/>
    <w:rsid w:val="3B824942"/>
    <w:rsid w:val="3B922D1B"/>
    <w:rsid w:val="3BB07762"/>
    <w:rsid w:val="3BC46D08"/>
    <w:rsid w:val="3BE52240"/>
    <w:rsid w:val="3BE61128"/>
    <w:rsid w:val="3BE771C5"/>
    <w:rsid w:val="3BF05D4F"/>
    <w:rsid w:val="3C39524B"/>
    <w:rsid w:val="3C656D5E"/>
    <w:rsid w:val="3C7C0009"/>
    <w:rsid w:val="3C891B09"/>
    <w:rsid w:val="3C9B215F"/>
    <w:rsid w:val="3CAC6917"/>
    <w:rsid w:val="3CF932EC"/>
    <w:rsid w:val="3D581DFE"/>
    <w:rsid w:val="3DC76F84"/>
    <w:rsid w:val="3DF8538F"/>
    <w:rsid w:val="3E150D17"/>
    <w:rsid w:val="3E564C85"/>
    <w:rsid w:val="3EB76FF8"/>
    <w:rsid w:val="3EBF1A09"/>
    <w:rsid w:val="3EBF7C5B"/>
    <w:rsid w:val="3ECC499B"/>
    <w:rsid w:val="3EDD502D"/>
    <w:rsid w:val="3F0A7128"/>
    <w:rsid w:val="3F125FDD"/>
    <w:rsid w:val="3F424B14"/>
    <w:rsid w:val="3F5E6566"/>
    <w:rsid w:val="3F683EEF"/>
    <w:rsid w:val="3F854A01"/>
    <w:rsid w:val="3FA96941"/>
    <w:rsid w:val="3FB62E0C"/>
    <w:rsid w:val="3FB64B12"/>
    <w:rsid w:val="3FC25C55"/>
    <w:rsid w:val="3FC27B3D"/>
    <w:rsid w:val="3FD414E4"/>
    <w:rsid w:val="3FE101A2"/>
    <w:rsid w:val="3FF1653A"/>
    <w:rsid w:val="400E1FD4"/>
    <w:rsid w:val="403D58D5"/>
    <w:rsid w:val="40467114"/>
    <w:rsid w:val="40C17CBA"/>
    <w:rsid w:val="40D1060A"/>
    <w:rsid w:val="40D61697"/>
    <w:rsid w:val="40DC68A2"/>
    <w:rsid w:val="41121275"/>
    <w:rsid w:val="41183CE8"/>
    <w:rsid w:val="411B561D"/>
    <w:rsid w:val="41344930"/>
    <w:rsid w:val="414A5F02"/>
    <w:rsid w:val="41502960"/>
    <w:rsid w:val="415B3C6B"/>
    <w:rsid w:val="419D365D"/>
    <w:rsid w:val="41BE03A9"/>
    <w:rsid w:val="41C17BF0"/>
    <w:rsid w:val="41D67F90"/>
    <w:rsid w:val="41EA78CA"/>
    <w:rsid w:val="41F10CC3"/>
    <w:rsid w:val="41F63994"/>
    <w:rsid w:val="42037AA3"/>
    <w:rsid w:val="42075459"/>
    <w:rsid w:val="42150278"/>
    <w:rsid w:val="42170644"/>
    <w:rsid w:val="422624CB"/>
    <w:rsid w:val="422D323D"/>
    <w:rsid w:val="423A7D24"/>
    <w:rsid w:val="42505BFA"/>
    <w:rsid w:val="42836415"/>
    <w:rsid w:val="429D6505"/>
    <w:rsid w:val="42A83F88"/>
    <w:rsid w:val="42B850ED"/>
    <w:rsid w:val="42BE193F"/>
    <w:rsid w:val="431F2FB1"/>
    <w:rsid w:val="434B7D0F"/>
    <w:rsid w:val="43686B13"/>
    <w:rsid w:val="43721740"/>
    <w:rsid w:val="43A06B6B"/>
    <w:rsid w:val="43A23DD3"/>
    <w:rsid w:val="43A3648A"/>
    <w:rsid w:val="43AD11C7"/>
    <w:rsid w:val="43B6787E"/>
    <w:rsid w:val="43D561DF"/>
    <w:rsid w:val="43D83C99"/>
    <w:rsid w:val="43E77A38"/>
    <w:rsid w:val="44222311"/>
    <w:rsid w:val="444A2DDE"/>
    <w:rsid w:val="4467501D"/>
    <w:rsid w:val="448160DE"/>
    <w:rsid w:val="448B17A9"/>
    <w:rsid w:val="44B518E4"/>
    <w:rsid w:val="44B85878"/>
    <w:rsid w:val="44CC6046"/>
    <w:rsid w:val="44CE0BF8"/>
    <w:rsid w:val="44D132A9"/>
    <w:rsid w:val="44D25347"/>
    <w:rsid w:val="44EF1DE0"/>
    <w:rsid w:val="45007B27"/>
    <w:rsid w:val="450C6A2F"/>
    <w:rsid w:val="450D12C5"/>
    <w:rsid w:val="450D4692"/>
    <w:rsid w:val="45283446"/>
    <w:rsid w:val="45286D33"/>
    <w:rsid w:val="45B93656"/>
    <w:rsid w:val="45CD70E6"/>
    <w:rsid w:val="45DB380E"/>
    <w:rsid w:val="45DD1636"/>
    <w:rsid w:val="45ED2D2A"/>
    <w:rsid w:val="45EF7078"/>
    <w:rsid w:val="45F4468E"/>
    <w:rsid w:val="4607497B"/>
    <w:rsid w:val="461A4D3A"/>
    <w:rsid w:val="461E4551"/>
    <w:rsid w:val="463902F3"/>
    <w:rsid w:val="46513689"/>
    <w:rsid w:val="46705920"/>
    <w:rsid w:val="4682613E"/>
    <w:rsid w:val="46A63BDA"/>
    <w:rsid w:val="46C16C66"/>
    <w:rsid w:val="46CD0638"/>
    <w:rsid w:val="46E05AEC"/>
    <w:rsid w:val="46F32B98"/>
    <w:rsid w:val="473C6FA2"/>
    <w:rsid w:val="476156F7"/>
    <w:rsid w:val="47707C9B"/>
    <w:rsid w:val="478C7274"/>
    <w:rsid w:val="47B70069"/>
    <w:rsid w:val="47C5711C"/>
    <w:rsid w:val="47D74267"/>
    <w:rsid w:val="47D76015"/>
    <w:rsid w:val="47D77DC3"/>
    <w:rsid w:val="481608EC"/>
    <w:rsid w:val="483A2BEA"/>
    <w:rsid w:val="48457423"/>
    <w:rsid w:val="48467E82"/>
    <w:rsid w:val="485812D4"/>
    <w:rsid w:val="48627FD5"/>
    <w:rsid w:val="486D21C3"/>
    <w:rsid w:val="48852288"/>
    <w:rsid w:val="4893466B"/>
    <w:rsid w:val="48DF5182"/>
    <w:rsid w:val="48FA1FBB"/>
    <w:rsid w:val="490B427D"/>
    <w:rsid w:val="49184B37"/>
    <w:rsid w:val="49520049"/>
    <w:rsid w:val="496A198C"/>
    <w:rsid w:val="498B1F4D"/>
    <w:rsid w:val="49911DDC"/>
    <w:rsid w:val="49C16A27"/>
    <w:rsid w:val="49FD0C23"/>
    <w:rsid w:val="4A1672C9"/>
    <w:rsid w:val="4A1E6B09"/>
    <w:rsid w:val="4A264C7E"/>
    <w:rsid w:val="4A286D37"/>
    <w:rsid w:val="4A3B0ADD"/>
    <w:rsid w:val="4A581AD8"/>
    <w:rsid w:val="4A5D580E"/>
    <w:rsid w:val="4AB42F1C"/>
    <w:rsid w:val="4ABD1B1C"/>
    <w:rsid w:val="4ABD676B"/>
    <w:rsid w:val="4AD04D95"/>
    <w:rsid w:val="4AD807FC"/>
    <w:rsid w:val="4AFD5D93"/>
    <w:rsid w:val="4B005883"/>
    <w:rsid w:val="4B0E06B5"/>
    <w:rsid w:val="4B2652EA"/>
    <w:rsid w:val="4B306168"/>
    <w:rsid w:val="4B3B7520"/>
    <w:rsid w:val="4B404D4F"/>
    <w:rsid w:val="4B572726"/>
    <w:rsid w:val="4B5E1788"/>
    <w:rsid w:val="4BD05255"/>
    <w:rsid w:val="4BD821D1"/>
    <w:rsid w:val="4BE50FC3"/>
    <w:rsid w:val="4BEE48EA"/>
    <w:rsid w:val="4C2F4672"/>
    <w:rsid w:val="4C3677AE"/>
    <w:rsid w:val="4C453E95"/>
    <w:rsid w:val="4C4C6FD2"/>
    <w:rsid w:val="4C504230"/>
    <w:rsid w:val="4C5B08F6"/>
    <w:rsid w:val="4C6E4F29"/>
    <w:rsid w:val="4CDF4379"/>
    <w:rsid w:val="4CF775C0"/>
    <w:rsid w:val="4D0D77FD"/>
    <w:rsid w:val="4D27640F"/>
    <w:rsid w:val="4D2D0E11"/>
    <w:rsid w:val="4D330192"/>
    <w:rsid w:val="4D42555A"/>
    <w:rsid w:val="4D4A301A"/>
    <w:rsid w:val="4D531B6F"/>
    <w:rsid w:val="4D5F4AE3"/>
    <w:rsid w:val="4D7660EF"/>
    <w:rsid w:val="4DAC20D0"/>
    <w:rsid w:val="4DD558FA"/>
    <w:rsid w:val="4DEF3233"/>
    <w:rsid w:val="4E375A60"/>
    <w:rsid w:val="4E3C182C"/>
    <w:rsid w:val="4E573A0C"/>
    <w:rsid w:val="4E656129"/>
    <w:rsid w:val="4E793F06"/>
    <w:rsid w:val="4E927637"/>
    <w:rsid w:val="4EA96688"/>
    <w:rsid w:val="4ED14027"/>
    <w:rsid w:val="4EE01C53"/>
    <w:rsid w:val="4EFE70DC"/>
    <w:rsid w:val="4F480B7D"/>
    <w:rsid w:val="4F577103"/>
    <w:rsid w:val="4F701229"/>
    <w:rsid w:val="4F7725B8"/>
    <w:rsid w:val="4F7971CC"/>
    <w:rsid w:val="4F9A62A6"/>
    <w:rsid w:val="4FB53274"/>
    <w:rsid w:val="4FBD30FE"/>
    <w:rsid w:val="4FC6709B"/>
    <w:rsid w:val="4FC674B5"/>
    <w:rsid w:val="4FD45C2C"/>
    <w:rsid w:val="4FD77DC0"/>
    <w:rsid w:val="4FE775A6"/>
    <w:rsid w:val="503E4E84"/>
    <w:rsid w:val="504B134F"/>
    <w:rsid w:val="506D338D"/>
    <w:rsid w:val="508807F5"/>
    <w:rsid w:val="50B433D6"/>
    <w:rsid w:val="50BB2245"/>
    <w:rsid w:val="50C03AEB"/>
    <w:rsid w:val="50D650BC"/>
    <w:rsid w:val="50DE0415"/>
    <w:rsid w:val="50EB135C"/>
    <w:rsid w:val="510936E3"/>
    <w:rsid w:val="511F2F07"/>
    <w:rsid w:val="51244113"/>
    <w:rsid w:val="51394B0E"/>
    <w:rsid w:val="513D2D06"/>
    <w:rsid w:val="516C47E0"/>
    <w:rsid w:val="517843C5"/>
    <w:rsid w:val="519F5DF6"/>
    <w:rsid w:val="51A74CAA"/>
    <w:rsid w:val="52255837"/>
    <w:rsid w:val="52514F1D"/>
    <w:rsid w:val="52612F1E"/>
    <w:rsid w:val="526416A6"/>
    <w:rsid w:val="52651F72"/>
    <w:rsid w:val="527B23BF"/>
    <w:rsid w:val="528F1AE6"/>
    <w:rsid w:val="52AA4A52"/>
    <w:rsid w:val="52C04276"/>
    <w:rsid w:val="52DD4E28"/>
    <w:rsid w:val="52E36157"/>
    <w:rsid w:val="52E37F64"/>
    <w:rsid w:val="52EB0BC7"/>
    <w:rsid w:val="52F12681"/>
    <w:rsid w:val="53620AF3"/>
    <w:rsid w:val="537E3AD8"/>
    <w:rsid w:val="5387362E"/>
    <w:rsid w:val="5389651C"/>
    <w:rsid w:val="538C23AA"/>
    <w:rsid w:val="53B10062"/>
    <w:rsid w:val="53C733E2"/>
    <w:rsid w:val="53E162A0"/>
    <w:rsid w:val="53F73CC7"/>
    <w:rsid w:val="54107DE4"/>
    <w:rsid w:val="54120B01"/>
    <w:rsid w:val="542E520F"/>
    <w:rsid w:val="545C1D7C"/>
    <w:rsid w:val="5485322C"/>
    <w:rsid w:val="548F7A6E"/>
    <w:rsid w:val="54D92939"/>
    <w:rsid w:val="55043940"/>
    <w:rsid w:val="55065B68"/>
    <w:rsid w:val="553D7E00"/>
    <w:rsid w:val="55511763"/>
    <w:rsid w:val="55630EE8"/>
    <w:rsid w:val="556468FA"/>
    <w:rsid w:val="556C5FEF"/>
    <w:rsid w:val="558E065B"/>
    <w:rsid w:val="558F6EF3"/>
    <w:rsid w:val="55A03EEB"/>
    <w:rsid w:val="55AC6D33"/>
    <w:rsid w:val="562C598F"/>
    <w:rsid w:val="562E14F6"/>
    <w:rsid w:val="56321D83"/>
    <w:rsid w:val="563C00B7"/>
    <w:rsid w:val="56757125"/>
    <w:rsid w:val="56867584"/>
    <w:rsid w:val="56B73E78"/>
    <w:rsid w:val="56BA5480"/>
    <w:rsid w:val="56BE6D1E"/>
    <w:rsid w:val="56D75879"/>
    <w:rsid w:val="56DE4CCA"/>
    <w:rsid w:val="570109B9"/>
    <w:rsid w:val="572C012C"/>
    <w:rsid w:val="572E74B9"/>
    <w:rsid w:val="57427B46"/>
    <w:rsid w:val="57895669"/>
    <w:rsid w:val="57B41125"/>
    <w:rsid w:val="57D73CC1"/>
    <w:rsid w:val="57FA3D86"/>
    <w:rsid w:val="580469B3"/>
    <w:rsid w:val="58291FAA"/>
    <w:rsid w:val="583E14ED"/>
    <w:rsid w:val="584A6390"/>
    <w:rsid w:val="58523BC2"/>
    <w:rsid w:val="585B059D"/>
    <w:rsid w:val="585B665C"/>
    <w:rsid w:val="58790F79"/>
    <w:rsid w:val="58AE691E"/>
    <w:rsid w:val="58DA7713"/>
    <w:rsid w:val="58E40C3A"/>
    <w:rsid w:val="58E5121E"/>
    <w:rsid w:val="590B0730"/>
    <w:rsid w:val="591265BF"/>
    <w:rsid w:val="593E5EF4"/>
    <w:rsid w:val="59610256"/>
    <w:rsid w:val="597A4A53"/>
    <w:rsid w:val="599E1898"/>
    <w:rsid w:val="59A044B9"/>
    <w:rsid w:val="59E6628D"/>
    <w:rsid w:val="5A02755C"/>
    <w:rsid w:val="5A310CE2"/>
    <w:rsid w:val="5A3D61AC"/>
    <w:rsid w:val="5A5A018F"/>
    <w:rsid w:val="5A5A6D5E"/>
    <w:rsid w:val="5A71364F"/>
    <w:rsid w:val="5A762E3E"/>
    <w:rsid w:val="5A98509D"/>
    <w:rsid w:val="5AB95DB4"/>
    <w:rsid w:val="5ACB4F54"/>
    <w:rsid w:val="5AEE6358"/>
    <w:rsid w:val="5B10644C"/>
    <w:rsid w:val="5B413A7A"/>
    <w:rsid w:val="5B432946"/>
    <w:rsid w:val="5B6854AA"/>
    <w:rsid w:val="5BA12694"/>
    <w:rsid w:val="5BA83AF9"/>
    <w:rsid w:val="5C005E5A"/>
    <w:rsid w:val="5C2E04A2"/>
    <w:rsid w:val="5C3D06E5"/>
    <w:rsid w:val="5C5D2352"/>
    <w:rsid w:val="5CA545CE"/>
    <w:rsid w:val="5CB62246"/>
    <w:rsid w:val="5CCE6D02"/>
    <w:rsid w:val="5CDA4186"/>
    <w:rsid w:val="5CDD53FD"/>
    <w:rsid w:val="5CEB0AAB"/>
    <w:rsid w:val="5D0327DA"/>
    <w:rsid w:val="5D254161"/>
    <w:rsid w:val="5D355860"/>
    <w:rsid w:val="5D3C274B"/>
    <w:rsid w:val="5D4A253D"/>
    <w:rsid w:val="5D69550A"/>
    <w:rsid w:val="5D812854"/>
    <w:rsid w:val="5D8A153C"/>
    <w:rsid w:val="5D8B5480"/>
    <w:rsid w:val="5DAA7FFC"/>
    <w:rsid w:val="5DAF0EA6"/>
    <w:rsid w:val="5DC170F4"/>
    <w:rsid w:val="5DC8742A"/>
    <w:rsid w:val="5DD22C6C"/>
    <w:rsid w:val="5DD76917"/>
    <w:rsid w:val="5DF04D4E"/>
    <w:rsid w:val="5E0C0D95"/>
    <w:rsid w:val="5E0C1003"/>
    <w:rsid w:val="5E14191A"/>
    <w:rsid w:val="5E192A8C"/>
    <w:rsid w:val="5E346C10"/>
    <w:rsid w:val="5E37083D"/>
    <w:rsid w:val="5E3B36E1"/>
    <w:rsid w:val="5EA65776"/>
    <w:rsid w:val="5EB7464B"/>
    <w:rsid w:val="5EBA601D"/>
    <w:rsid w:val="5EBF6B73"/>
    <w:rsid w:val="5ED5387D"/>
    <w:rsid w:val="5ED846F5"/>
    <w:rsid w:val="5F053B0B"/>
    <w:rsid w:val="5F2142FA"/>
    <w:rsid w:val="5F2A453B"/>
    <w:rsid w:val="5F3E6C4E"/>
    <w:rsid w:val="5F4D50E3"/>
    <w:rsid w:val="5F5A15AE"/>
    <w:rsid w:val="5F5F4E16"/>
    <w:rsid w:val="5F7A5030"/>
    <w:rsid w:val="5F7C7776"/>
    <w:rsid w:val="6008100A"/>
    <w:rsid w:val="600D6620"/>
    <w:rsid w:val="60262315"/>
    <w:rsid w:val="605669A7"/>
    <w:rsid w:val="6057789C"/>
    <w:rsid w:val="60727A4E"/>
    <w:rsid w:val="60803296"/>
    <w:rsid w:val="608B5A6C"/>
    <w:rsid w:val="60A349A8"/>
    <w:rsid w:val="60B0559C"/>
    <w:rsid w:val="60BF5B6D"/>
    <w:rsid w:val="60C41176"/>
    <w:rsid w:val="61025A59"/>
    <w:rsid w:val="611426B6"/>
    <w:rsid w:val="61176028"/>
    <w:rsid w:val="61471FEF"/>
    <w:rsid w:val="618118D9"/>
    <w:rsid w:val="61A700C2"/>
    <w:rsid w:val="61C777A9"/>
    <w:rsid w:val="61CD7A3C"/>
    <w:rsid w:val="61CE53C5"/>
    <w:rsid w:val="61EC7E6A"/>
    <w:rsid w:val="62082EAD"/>
    <w:rsid w:val="623205C0"/>
    <w:rsid w:val="62593D9F"/>
    <w:rsid w:val="628A3F58"/>
    <w:rsid w:val="6297536A"/>
    <w:rsid w:val="62976675"/>
    <w:rsid w:val="62A50D92"/>
    <w:rsid w:val="62A8595D"/>
    <w:rsid w:val="62B25A40"/>
    <w:rsid w:val="62C21968"/>
    <w:rsid w:val="62C656A8"/>
    <w:rsid w:val="62D7000D"/>
    <w:rsid w:val="62EE098B"/>
    <w:rsid w:val="62F615EE"/>
    <w:rsid w:val="63225AEA"/>
    <w:rsid w:val="63515DDE"/>
    <w:rsid w:val="635F24FA"/>
    <w:rsid w:val="6376033E"/>
    <w:rsid w:val="63985EF5"/>
    <w:rsid w:val="639F6338"/>
    <w:rsid w:val="63AD0924"/>
    <w:rsid w:val="63E1229E"/>
    <w:rsid w:val="63E8362C"/>
    <w:rsid w:val="63F461F0"/>
    <w:rsid w:val="63F518A5"/>
    <w:rsid w:val="63FA510E"/>
    <w:rsid w:val="641E704E"/>
    <w:rsid w:val="64676364"/>
    <w:rsid w:val="64760C38"/>
    <w:rsid w:val="64790728"/>
    <w:rsid w:val="64B47494"/>
    <w:rsid w:val="64D94D23"/>
    <w:rsid w:val="64E536C8"/>
    <w:rsid w:val="65044EEF"/>
    <w:rsid w:val="652F68A0"/>
    <w:rsid w:val="6533227E"/>
    <w:rsid w:val="656A1EB7"/>
    <w:rsid w:val="656C12EB"/>
    <w:rsid w:val="657478B8"/>
    <w:rsid w:val="65984BDE"/>
    <w:rsid w:val="65C854C3"/>
    <w:rsid w:val="65D138A0"/>
    <w:rsid w:val="65D64673"/>
    <w:rsid w:val="65E90578"/>
    <w:rsid w:val="65FA13F5"/>
    <w:rsid w:val="65FB5C98"/>
    <w:rsid w:val="660E3C9E"/>
    <w:rsid w:val="66292B1D"/>
    <w:rsid w:val="662B797D"/>
    <w:rsid w:val="667A3A6A"/>
    <w:rsid w:val="66C0619B"/>
    <w:rsid w:val="66D60192"/>
    <w:rsid w:val="66D94BF1"/>
    <w:rsid w:val="674C5C80"/>
    <w:rsid w:val="675E7762"/>
    <w:rsid w:val="679715F1"/>
    <w:rsid w:val="67CC581F"/>
    <w:rsid w:val="67EB7247"/>
    <w:rsid w:val="67FA1B80"/>
    <w:rsid w:val="6834561E"/>
    <w:rsid w:val="68784853"/>
    <w:rsid w:val="68831B76"/>
    <w:rsid w:val="68863414"/>
    <w:rsid w:val="68925915"/>
    <w:rsid w:val="68BD03EF"/>
    <w:rsid w:val="68CB7079"/>
    <w:rsid w:val="68D4417F"/>
    <w:rsid w:val="68D777CC"/>
    <w:rsid w:val="690A194F"/>
    <w:rsid w:val="690E052E"/>
    <w:rsid w:val="693309BB"/>
    <w:rsid w:val="69393921"/>
    <w:rsid w:val="695D4175"/>
    <w:rsid w:val="69636452"/>
    <w:rsid w:val="696844DF"/>
    <w:rsid w:val="69747710"/>
    <w:rsid w:val="697666D8"/>
    <w:rsid w:val="69A305DD"/>
    <w:rsid w:val="69AB5310"/>
    <w:rsid w:val="69AE5A4F"/>
    <w:rsid w:val="69C77E24"/>
    <w:rsid w:val="69DA3ABA"/>
    <w:rsid w:val="69DB32EB"/>
    <w:rsid w:val="6A211646"/>
    <w:rsid w:val="6A335CEC"/>
    <w:rsid w:val="6A4E61B3"/>
    <w:rsid w:val="6A6B0B13"/>
    <w:rsid w:val="6A7A2551"/>
    <w:rsid w:val="6A7F28CF"/>
    <w:rsid w:val="6A8E0AB1"/>
    <w:rsid w:val="6A9D4702"/>
    <w:rsid w:val="6AF02DC7"/>
    <w:rsid w:val="6AF26E82"/>
    <w:rsid w:val="6AFB3C45"/>
    <w:rsid w:val="6B030D4C"/>
    <w:rsid w:val="6B07083C"/>
    <w:rsid w:val="6B196B1E"/>
    <w:rsid w:val="6B3105C6"/>
    <w:rsid w:val="6B4F3F91"/>
    <w:rsid w:val="6B6712DB"/>
    <w:rsid w:val="6B741C4A"/>
    <w:rsid w:val="6BEA0699"/>
    <w:rsid w:val="6C40789A"/>
    <w:rsid w:val="6C4433CA"/>
    <w:rsid w:val="6C4E327A"/>
    <w:rsid w:val="6C8B724B"/>
    <w:rsid w:val="6CBC11B2"/>
    <w:rsid w:val="6CC963C0"/>
    <w:rsid w:val="6CE13E7E"/>
    <w:rsid w:val="6CEA21C3"/>
    <w:rsid w:val="6CFC3CA5"/>
    <w:rsid w:val="6D186E2C"/>
    <w:rsid w:val="6D2A3FA6"/>
    <w:rsid w:val="6D677D53"/>
    <w:rsid w:val="6DC20A4A"/>
    <w:rsid w:val="6DC26C9C"/>
    <w:rsid w:val="6DCF24EB"/>
    <w:rsid w:val="6DD7616A"/>
    <w:rsid w:val="6DE035C6"/>
    <w:rsid w:val="6E0153AD"/>
    <w:rsid w:val="6E1B015A"/>
    <w:rsid w:val="6E2C1741"/>
    <w:rsid w:val="6E475935"/>
    <w:rsid w:val="6E6164B5"/>
    <w:rsid w:val="6E8F33CD"/>
    <w:rsid w:val="6EBA603F"/>
    <w:rsid w:val="6EDB2BE8"/>
    <w:rsid w:val="6EDF7F85"/>
    <w:rsid w:val="6EFA06B8"/>
    <w:rsid w:val="6F2614AD"/>
    <w:rsid w:val="6F3239AE"/>
    <w:rsid w:val="6F356AE8"/>
    <w:rsid w:val="6F98367F"/>
    <w:rsid w:val="6FA25925"/>
    <w:rsid w:val="6FB50061"/>
    <w:rsid w:val="6FBC5943"/>
    <w:rsid w:val="6FBC771B"/>
    <w:rsid w:val="6FBE3493"/>
    <w:rsid w:val="6FC57F4B"/>
    <w:rsid w:val="6FC8711E"/>
    <w:rsid w:val="6FD20CED"/>
    <w:rsid w:val="6FE16B76"/>
    <w:rsid w:val="6FEA0820"/>
    <w:rsid w:val="6FF11ABB"/>
    <w:rsid w:val="701337DF"/>
    <w:rsid w:val="70237E75"/>
    <w:rsid w:val="70293003"/>
    <w:rsid w:val="702E0619"/>
    <w:rsid w:val="703D085C"/>
    <w:rsid w:val="70860455"/>
    <w:rsid w:val="7094254E"/>
    <w:rsid w:val="7097247F"/>
    <w:rsid w:val="70BD6DA9"/>
    <w:rsid w:val="70C37C99"/>
    <w:rsid w:val="70CC4285"/>
    <w:rsid w:val="70EB650A"/>
    <w:rsid w:val="710D6480"/>
    <w:rsid w:val="710D7610"/>
    <w:rsid w:val="71103CD7"/>
    <w:rsid w:val="71120B95"/>
    <w:rsid w:val="711B2066"/>
    <w:rsid w:val="712F4B55"/>
    <w:rsid w:val="713F0604"/>
    <w:rsid w:val="716F0BB9"/>
    <w:rsid w:val="717E2EDA"/>
    <w:rsid w:val="71B92B8A"/>
    <w:rsid w:val="71BB5EDC"/>
    <w:rsid w:val="71D15700"/>
    <w:rsid w:val="720E128D"/>
    <w:rsid w:val="723D4CFB"/>
    <w:rsid w:val="723F4D5F"/>
    <w:rsid w:val="72572C4C"/>
    <w:rsid w:val="72680562"/>
    <w:rsid w:val="727D5888"/>
    <w:rsid w:val="72A154A1"/>
    <w:rsid w:val="72A9667D"/>
    <w:rsid w:val="72CA3808"/>
    <w:rsid w:val="72D773E7"/>
    <w:rsid w:val="72E651DB"/>
    <w:rsid w:val="73046753"/>
    <w:rsid w:val="731009FB"/>
    <w:rsid w:val="731E2CB7"/>
    <w:rsid w:val="732935EC"/>
    <w:rsid w:val="73333915"/>
    <w:rsid w:val="734902DF"/>
    <w:rsid w:val="73496AC4"/>
    <w:rsid w:val="739015EB"/>
    <w:rsid w:val="73A66718"/>
    <w:rsid w:val="73BC37B8"/>
    <w:rsid w:val="73EF4563"/>
    <w:rsid w:val="73F43927"/>
    <w:rsid w:val="74072DA7"/>
    <w:rsid w:val="7407365B"/>
    <w:rsid w:val="741755BA"/>
    <w:rsid w:val="741E3490"/>
    <w:rsid w:val="745E3CEB"/>
    <w:rsid w:val="74911176"/>
    <w:rsid w:val="74BC6591"/>
    <w:rsid w:val="74C652C4"/>
    <w:rsid w:val="74E34CD9"/>
    <w:rsid w:val="74EE65C9"/>
    <w:rsid w:val="74FF07D6"/>
    <w:rsid w:val="750202C6"/>
    <w:rsid w:val="7535244A"/>
    <w:rsid w:val="7579607C"/>
    <w:rsid w:val="75962758"/>
    <w:rsid w:val="75AE7B06"/>
    <w:rsid w:val="75CC3AD6"/>
    <w:rsid w:val="75CF4FA6"/>
    <w:rsid w:val="75EF084A"/>
    <w:rsid w:val="75F419BD"/>
    <w:rsid w:val="75FB0F9D"/>
    <w:rsid w:val="761248D7"/>
    <w:rsid w:val="762F6E99"/>
    <w:rsid w:val="76760624"/>
    <w:rsid w:val="767963F3"/>
    <w:rsid w:val="768A2321"/>
    <w:rsid w:val="76B850E0"/>
    <w:rsid w:val="76E71522"/>
    <w:rsid w:val="771A18F7"/>
    <w:rsid w:val="773552AB"/>
    <w:rsid w:val="77D870BC"/>
    <w:rsid w:val="780D6D66"/>
    <w:rsid w:val="78146A91"/>
    <w:rsid w:val="781C30DF"/>
    <w:rsid w:val="78476316"/>
    <w:rsid w:val="78482494"/>
    <w:rsid w:val="78697846"/>
    <w:rsid w:val="786A41B8"/>
    <w:rsid w:val="78DE0702"/>
    <w:rsid w:val="790979A8"/>
    <w:rsid w:val="791548FF"/>
    <w:rsid w:val="79176C89"/>
    <w:rsid w:val="794C2B20"/>
    <w:rsid w:val="799534B7"/>
    <w:rsid w:val="799A4733"/>
    <w:rsid w:val="799A7BDC"/>
    <w:rsid w:val="79C332C8"/>
    <w:rsid w:val="79E709A8"/>
    <w:rsid w:val="79F301DD"/>
    <w:rsid w:val="7A0B6C64"/>
    <w:rsid w:val="7A3525A4"/>
    <w:rsid w:val="7A4A4694"/>
    <w:rsid w:val="7A543372"/>
    <w:rsid w:val="7A6B1FA0"/>
    <w:rsid w:val="7AA31C03"/>
    <w:rsid w:val="7AA754C8"/>
    <w:rsid w:val="7AA8721A"/>
    <w:rsid w:val="7B835964"/>
    <w:rsid w:val="7B9559F0"/>
    <w:rsid w:val="7B9854E0"/>
    <w:rsid w:val="7B9D1343"/>
    <w:rsid w:val="7BB045D8"/>
    <w:rsid w:val="7BBB311B"/>
    <w:rsid w:val="7BCC4AD2"/>
    <w:rsid w:val="7BD227A0"/>
    <w:rsid w:val="7BFB5FD0"/>
    <w:rsid w:val="7C0148BF"/>
    <w:rsid w:val="7C18217D"/>
    <w:rsid w:val="7C41507F"/>
    <w:rsid w:val="7C422483"/>
    <w:rsid w:val="7C52568F"/>
    <w:rsid w:val="7C5B288C"/>
    <w:rsid w:val="7C790E6E"/>
    <w:rsid w:val="7CD87180"/>
    <w:rsid w:val="7CDA6256"/>
    <w:rsid w:val="7CF8042B"/>
    <w:rsid w:val="7D086C1B"/>
    <w:rsid w:val="7D0C1CE2"/>
    <w:rsid w:val="7D3F20B7"/>
    <w:rsid w:val="7D40411F"/>
    <w:rsid w:val="7D407BDD"/>
    <w:rsid w:val="7D562F5D"/>
    <w:rsid w:val="7D627D20"/>
    <w:rsid w:val="7D657644"/>
    <w:rsid w:val="7D6A471F"/>
    <w:rsid w:val="7D73196F"/>
    <w:rsid w:val="7D8535A6"/>
    <w:rsid w:val="7D880112"/>
    <w:rsid w:val="7D94667A"/>
    <w:rsid w:val="7D9B2199"/>
    <w:rsid w:val="7DCB56F9"/>
    <w:rsid w:val="7DD270EF"/>
    <w:rsid w:val="7DE467BB"/>
    <w:rsid w:val="7DEA2140"/>
    <w:rsid w:val="7E0712F2"/>
    <w:rsid w:val="7E0E55E6"/>
    <w:rsid w:val="7E161957"/>
    <w:rsid w:val="7E226D6A"/>
    <w:rsid w:val="7E2E41C7"/>
    <w:rsid w:val="7E437985"/>
    <w:rsid w:val="7E464D80"/>
    <w:rsid w:val="7E4E6A28"/>
    <w:rsid w:val="7E5C0A47"/>
    <w:rsid w:val="7E665422"/>
    <w:rsid w:val="7E81225C"/>
    <w:rsid w:val="7EC30AC6"/>
    <w:rsid w:val="7EC349C7"/>
    <w:rsid w:val="7EC5039A"/>
    <w:rsid w:val="7EE418CF"/>
    <w:rsid w:val="7EE82F98"/>
    <w:rsid w:val="7EFC5D86"/>
    <w:rsid w:val="7F041B0B"/>
    <w:rsid w:val="7F1906E6"/>
    <w:rsid w:val="7F1B454B"/>
    <w:rsid w:val="7F1E484B"/>
    <w:rsid w:val="7F314917"/>
    <w:rsid w:val="7F3D2627"/>
    <w:rsid w:val="7F4F213E"/>
    <w:rsid w:val="7F65392B"/>
    <w:rsid w:val="7FBF341E"/>
    <w:rsid w:val="7FF8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uiPriority w:val="0"/>
    <w:pPr>
      <w:keepNext/>
      <w:keepLines/>
      <w:spacing w:line="360" w:lineRule="auto"/>
      <w:jc w:val="center"/>
      <w:outlineLvl w:val="1"/>
    </w:pPr>
    <w:rPr>
      <w:rFonts w:eastAsia="黑体"/>
      <w:bCs/>
      <w:szCs w:val="28"/>
    </w:rPr>
  </w:style>
  <w:style w:type="paragraph" w:styleId="7">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8">
    <w:name w:val="heading 4"/>
    <w:basedOn w:val="1"/>
    <w:next w:val="1"/>
    <w:qFormat/>
    <w:uiPriority w:val="0"/>
    <w:pPr>
      <w:keepNext/>
      <w:keepLines/>
      <w:tabs>
        <w:tab w:val="left" w:pos="993"/>
        <w:tab w:val="left" w:pos="8497"/>
      </w:tabs>
      <w:spacing w:before="280" w:after="290" w:line="376" w:lineRule="auto"/>
      <w:outlineLvl w:val="3"/>
    </w:pPr>
    <w:rPr>
      <w:rFonts w:ascii="Cambria" w:hAnsi="Cambria"/>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next w:val="5"/>
    <w:unhideWhenUsed/>
    <w:qFormat/>
    <w:uiPriority w:val="0"/>
    <w:pPr>
      <w:spacing w:after="120"/>
    </w:pPr>
  </w:style>
  <w:style w:type="paragraph" w:styleId="5">
    <w:name w:val="Body Text 2"/>
    <w:basedOn w:val="1"/>
    <w:qFormat/>
    <w:uiPriority w:val="0"/>
    <w:pPr>
      <w:jc w:val="left"/>
    </w:pPr>
  </w:style>
  <w:style w:type="paragraph" w:styleId="9">
    <w:name w:val="Normal Indent"/>
    <w:basedOn w:val="1"/>
    <w:next w:val="10"/>
    <w:qFormat/>
    <w:uiPriority w:val="0"/>
    <w:pPr>
      <w:ind w:firstLine="420"/>
    </w:pPr>
  </w:style>
  <w:style w:type="paragraph" w:styleId="10">
    <w:name w:val="Body Text First Indent 2"/>
    <w:basedOn w:val="11"/>
    <w:qFormat/>
    <w:uiPriority w:val="0"/>
    <w:pPr>
      <w:ind w:firstLine="420" w:firstLineChars="200"/>
    </w:pPr>
    <w:rPr>
      <w:szCs w:val="24"/>
    </w:rPr>
  </w:style>
  <w:style w:type="paragraph" w:styleId="11">
    <w:name w:val="Body Text Indent"/>
    <w:basedOn w:val="1"/>
    <w:qFormat/>
    <w:uiPriority w:val="0"/>
    <w:pPr>
      <w:spacing w:line="440" w:lineRule="exact"/>
      <w:ind w:firstLine="462"/>
    </w:pPr>
    <w:rPr>
      <w:rFonts w:ascii="宋体"/>
      <w:sz w:val="24"/>
      <w:szCs w:val="20"/>
    </w:rPr>
  </w:style>
  <w:style w:type="paragraph" w:styleId="12">
    <w:name w:val="annotation text"/>
    <w:basedOn w:val="1"/>
    <w:semiHidden/>
    <w:qFormat/>
    <w:uiPriority w:val="0"/>
    <w:pPr>
      <w:jc w:val="left"/>
    </w:pPr>
    <w:rPr>
      <w:kern w:val="0"/>
      <w:sz w:val="24"/>
      <w:szCs w:val="20"/>
    </w:rPr>
  </w:style>
  <w:style w:type="paragraph" w:styleId="13">
    <w:name w:val="Block Text"/>
    <w:basedOn w:val="1"/>
    <w:next w:val="1"/>
    <w:unhideWhenUsed/>
    <w:qFormat/>
    <w:uiPriority w:val="99"/>
    <w:pPr>
      <w:snapToGrid w:val="0"/>
      <w:spacing w:line="408" w:lineRule="auto"/>
      <w:ind w:left="-113" w:right="-510" w:firstLine="510"/>
    </w:pPr>
    <w:rPr>
      <w:szCs w:val="20"/>
    </w:rPr>
  </w:style>
  <w:style w:type="paragraph" w:styleId="14">
    <w:name w:val="List Bullet 5"/>
    <w:basedOn w:val="1"/>
    <w:qFormat/>
    <w:uiPriority w:val="0"/>
    <w:pPr>
      <w:numPr>
        <w:ilvl w:val="0"/>
        <w:numId w:val="1"/>
      </w:numPr>
    </w:p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qFormat/>
    <w:uiPriority w:val="0"/>
    <w:pPr>
      <w:ind w:left="200" w:hanging="200" w:hanging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xl27"/>
    <w:basedOn w:val="1"/>
    <w:qFormat/>
    <w:uiPriority w:val="0"/>
    <w:pPr>
      <w:widowControl/>
      <w:spacing w:before="100" w:beforeAutospacing="1" w:after="100" w:afterAutospacing="1"/>
      <w:jc w:val="center"/>
      <w:textAlignment w:val="center"/>
    </w:pPr>
    <w:rPr>
      <w:sz w:val="18"/>
      <w:szCs w:val="18"/>
    </w:rPr>
  </w:style>
  <w:style w:type="paragraph" w:customStyle="1" w:styleId="25">
    <w:name w:val="样式 标题 3 + 无下划线"/>
    <w:basedOn w:val="7"/>
    <w:qFormat/>
    <w:uiPriority w:val="0"/>
    <w:pPr>
      <w:keepNext w:val="0"/>
      <w:keepLines w:val="0"/>
      <w:tabs>
        <w:tab w:val="left" w:pos="993"/>
        <w:tab w:val="left" w:pos="8497"/>
      </w:tabs>
      <w:kinsoku w:val="0"/>
      <w:ind w:left="993"/>
    </w:pPr>
    <w:rPr>
      <w:snapToGrid w:val="0"/>
      <w:color w:val="000000"/>
      <w:kern w:val="0"/>
      <w:sz w:val="28"/>
      <w:szCs w:val="28"/>
    </w:rPr>
  </w:style>
  <w:style w:type="paragraph" w:customStyle="1" w:styleId="26">
    <w:name w:val="样式 标题 4 + 左侧:  0 厘米 首行缩进:  0 厘米"/>
    <w:basedOn w:val="8"/>
    <w:qFormat/>
    <w:uiPriority w:val="0"/>
    <w:pPr>
      <w:tabs>
        <w:tab w:val="left" w:pos="723"/>
      </w:tabs>
    </w:pPr>
    <w:rPr>
      <w:rFonts w:cs="宋体"/>
      <w:szCs w:val="20"/>
    </w:rPr>
  </w:style>
  <w:style w:type="paragraph" w:customStyle="1" w:styleId="27">
    <w:name w:val="表头"/>
    <w:basedOn w:val="9"/>
    <w:next w:val="1"/>
    <w:qFormat/>
    <w:uiPriority w:val="0"/>
    <w:pPr>
      <w:spacing w:line="240" w:lineRule="auto"/>
      <w:ind w:firstLine="0" w:firstLineChars="0"/>
      <w:jc w:val="center"/>
    </w:pPr>
    <w:rPr>
      <w:b/>
      <w:bCs/>
      <w:sz w:val="21"/>
      <w:szCs w:val="21"/>
    </w:rPr>
  </w:style>
  <w:style w:type="paragraph" w:customStyle="1" w:styleId="28">
    <w:name w:val="Default"/>
    <w:basedOn w:val="29"/>
    <w:next w:val="1"/>
    <w:qFormat/>
    <w:uiPriority w:val="0"/>
    <w:pPr>
      <w:widowControl w:val="0"/>
      <w:autoSpaceDE w:val="0"/>
      <w:autoSpaceDN w:val="0"/>
      <w:adjustRightInd w:val="0"/>
    </w:pPr>
    <w:rPr>
      <w:rFonts w:ascii="隶书" w:hAnsi="Times New Roman" w:eastAsia="隶书" w:cs="隶书"/>
      <w:color w:val="000000"/>
      <w:sz w:val="24"/>
      <w:szCs w:val="24"/>
      <w:lang w:val="en-US" w:eastAsia="zh-CN" w:bidi="ar-SA"/>
    </w:rPr>
  </w:style>
  <w:style w:type="paragraph" w:customStyle="1" w:styleId="29">
    <w:name w:val="纯文本1"/>
    <w:basedOn w:val="1"/>
    <w:qFormat/>
    <w:uiPriority w:val="0"/>
    <w:pPr>
      <w:adjustRightInd w:val="0"/>
    </w:pPr>
    <w:rPr>
      <w:rFonts w:ascii="宋体" w:hAnsi="Courier New"/>
      <w:szCs w:val="20"/>
    </w:rPr>
  </w:style>
  <w:style w:type="paragraph" w:customStyle="1" w:styleId="30">
    <w:name w:val="正文新"/>
    <w:basedOn w:val="1"/>
    <w:qFormat/>
    <w:uiPriority w:val="0"/>
    <w:pPr>
      <w:spacing w:line="460" w:lineRule="exact"/>
      <w:ind w:firstLine="480" w:firstLineChars="200"/>
    </w:pPr>
    <w:rPr>
      <w:sz w:val="24"/>
    </w:rPr>
  </w:style>
  <w:style w:type="paragraph" w:customStyle="1" w:styleId="31">
    <w:name w:val="Table Text"/>
    <w:basedOn w:val="1"/>
    <w:semiHidden/>
    <w:qFormat/>
    <w:uiPriority w:val="0"/>
    <w:rPr>
      <w:rFonts w:ascii="宋体" w:hAnsi="宋体" w:eastAsia="宋体" w:cs="宋体"/>
      <w:sz w:val="25"/>
      <w:szCs w:val="25"/>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陈正文"/>
    <w:basedOn w:val="1"/>
    <w:qFormat/>
    <w:uiPriority w:val="0"/>
    <w:pPr>
      <w:snapToGrid w:val="0"/>
      <w:spacing w:line="360" w:lineRule="auto"/>
      <w:ind w:firstLine="200" w:firstLineChars="200"/>
    </w:pPr>
    <w:rPr>
      <w:rFonts w:ascii="宋体" w:hAnsi="宋体"/>
      <w:kern w:val="0"/>
      <w:sz w:val="24"/>
    </w:rPr>
  </w:style>
  <w:style w:type="paragraph" w:customStyle="1" w:styleId="34">
    <w:name w:val="文本正文"/>
    <w:qFormat/>
    <w:uiPriority w:val="0"/>
    <w:pPr>
      <w:spacing w:line="480" w:lineRule="exact"/>
      <w:ind w:firstLine="720" w:firstLineChars="200"/>
      <w:jc w:val="both"/>
    </w:pPr>
    <w:rPr>
      <w:rFonts w:hint="eastAsia" w:ascii="Times New Roman" w:hAnsi="Times New Roman" w:eastAsia="宋体" w:cs="宋体"/>
      <w:bCs/>
      <w:sz w:val="24"/>
      <w:lang w:bidi="ar"/>
    </w:rPr>
  </w:style>
  <w:style w:type="paragraph" w:customStyle="1" w:styleId="35">
    <w:name w:val="表格"/>
    <w:basedOn w:val="18"/>
    <w:next w:val="1"/>
    <w:qFormat/>
    <w:uiPriority w:val="0"/>
    <w:pPr>
      <w:adjustRightInd w:val="0"/>
      <w:snapToGrid w:val="0"/>
      <w:spacing w:beforeLines="10" w:afterLines="10" w:line="259" w:lineRule="auto"/>
      <w:jc w:val="center"/>
    </w:pPr>
    <w:rPr>
      <w:rFonts w:ascii="宋体"/>
      <w:kern w:val="0"/>
      <w:szCs w:val="20"/>
    </w:rPr>
  </w:style>
  <w:style w:type="paragraph" w:customStyle="1" w:styleId="36">
    <w:name w:val="表格内容"/>
    <w:basedOn w:val="37"/>
    <w:next w:val="1"/>
    <w:semiHidden/>
    <w:qFormat/>
    <w:uiPriority w:val="0"/>
    <w:pPr>
      <w:tabs>
        <w:tab w:val="left" w:pos="0"/>
      </w:tabs>
      <w:adjustRightInd w:val="0"/>
      <w:snapToGrid w:val="0"/>
      <w:spacing w:line="240" w:lineRule="auto"/>
      <w:jc w:val="center"/>
    </w:pPr>
    <w:rPr>
      <w:rFonts w:ascii="Times New Roman" w:hAnsi="Times New Roman" w:eastAsia="仿宋"/>
      <w:color w:val="000000"/>
      <w:sz w:val="21"/>
      <w:szCs w:val="18"/>
    </w:rPr>
  </w:style>
  <w:style w:type="paragraph" w:customStyle="1" w:styleId="37">
    <w:name w:val="表格内文字"/>
    <w:basedOn w:val="1"/>
    <w:qFormat/>
    <w:uiPriority w:val="0"/>
    <w:pPr>
      <w:tabs>
        <w:tab w:val="left" w:pos="0"/>
      </w:tabs>
      <w:adjustRightInd w:val="0"/>
      <w:snapToGrid w:val="0"/>
      <w:jc w:val="center"/>
    </w:pPr>
    <w:rPr>
      <w:rFonts w:eastAsia="仿宋_GB2312"/>
      <w:kern w:val="2"/>
      <w:sz w:val="24"/>
      <w:szCs w:val="28"/>
      <w:lang w:val="en-US" w:eastAsia="zh-CN" w:bidi="ar-SA"/>
    </w:rPr>
  </w:style>
  <w:style w:type="paragraph" w:customStyle="1" w:styleId="3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9">
    <w:name w:val="标题111"/>
    <w:qFormat/>
    <w:uiPriority w:val="0"/>
    <w:pPr>
      <w:widowControl w:val="0"/>
      <w:spacing w:line="480" w:lineRule="exact"/>
      <w:jc w:val="both"/>
    </w:pPr>
    <w:rPr>
      <w:rFonts w:ascii="Calibri" w:hAnsi="Calibri" w:eastAsia="宋体" w:cs="Times New Roman"/>
      <w:b/>
      <w:kern w:val="1"/>
      <w:sz w:val="24"/>
      <w:szCs w:val="24"/>
      <w:lang w:val="en-US" w:eastAsia="zh-CN" w:bidi="ar-SA"/>
    </w:rPr>
  </w:style>
  <w:style w:type="paragraph" w:customStyle="1" w:styleId="40">
    <w:name w:val="Normal"/>
    <w:qFormat/>
    <w:uiPriority w:val="0"/>
    <w:pPr>
      <w:jc w:val="both"/>
    </w:pPr>
    <w:rPr>
      <w:rFonts w:ascii="宋体" w:hAnsi="宋体" w:eastAsia="宋体" w:cs="宋体"/>
      <w:kern w:val="2"/>
      <w:sz w:val="21"/>
      <w:szCs w:val="21"/>
      <w:lang w:val="en-US" w:eastAsia="zh-CN" w:bidi="ar-SA"/>
    </w:rPr>
  </w:style>
  <w:style w:type="paragraph" w:customStyle="1" w:styleId="41">
    <w:name w:val="缩进2字符文字"/>
    <w:basedOn w:val="1"/>
    <w:qFormat/>
    <w:uiPriority w:val="0"/>
    <w:pPr>
      <w:spacing w:line="300" w:lineRule="auto"/>
      <w:ind w:firstLine="420" w:firstLineChars="200"/>
    </w:pPr>
    <w:rPr>
      <w:szCs w:val="20"/>
    </w:rPr>
  </w:style>
  <w:style w:type="paragraph" w:styleId="42">
    <w:name w:val="List Paragraph"/>
    <w:basedOn w:val="1"/>
    <w:qFormat/>
    <w:uiPriority w:val="34"/>
    <w:pPr>
      <w:ind w:firstLine="420" w:firstLineChars="200"/>
    </w:pPr>
    <w:rPr>
      <w:rFonts w:ascii="Calibri" w:hAnsi="Calibri"/>
      <w:szCs w:val="22"/>
    </w:rPr>
  </w:style>
  <w:style w:type="paragraph" w:customStyle="1" w:styleId="43">
    <w:name w:val="报告表正文"/>
    <w:basedOn w:val="44"/>
    <w:qFormat/>
    <w:uiPriority w:val="0"/>
    <w:pPr>
      <w:adjustRightInd w:val="0"/>
      <w:spacing w:line="360" w:lineRule="auto"/>
      <w:ind w:firstLine="640" w:firstLineChars="200"/>
      <w:textAlignment w:val="baseline"/>
    </w:pPr>
    <w:rPr>
      <w:color w:val="000000"/>
      <w:sz w:val="24"/>
    </w:rPr>
  </w:style>
  <w:style w:type="paragraph" w:customStyle="1" w:styleId="44">
    <w:name w:val="报告正文"/>
    <w:basedOn w:val="45"/>
    <w:qFormat/>
    <w:uiPriority w:val="0"/>
    <w:pPr>
      <w:widowControl w:val="0"/>
      <w:snapToGrid w:val="0"/>
      <w:spacing w:line="360" w:lineRule="auto"/>
      <w:ind w:firstLine="200" w:firstLineChars="200"/>
    </w:pPr>
    <w:rPr>
      <w:rFonts w:ascii="Times New Roman" w:hAnsi="Times New Roman" w:eastAsia="宋体" w:cs="Times New Roman"/>
      <w:snapToGrid w:val="0"/>
      <w:sz w:val="24"/>
      <w:szCs w:val="28"/>
    </w:rPr>
  </w:style>
  <w:style w:type="paragraph" w:customStyle="1" w:styleId="45">
    <w:name w:val="p17"/>
    <w:basedOn w:val="1"/>
    <w:qFormat/>
    <w:uiPriority w:val="0"/>
    <w:pPr>
      <w:widowControl/>
    </w:pPr>
    <w:rPr>
      <w:rFonts w:ascii="宋体" w:hAnsi="宋体" w:cs="宋体"/>
      <w:kern w:val="0"/>
      <w:szCs w:val="21"/>
    </w:rPr>
  </w:style>
  <w:style w:type="paragraph" w:customStyle="1" w:styleId="46">
    <w:name w:val="报告书正文"/>
    <w:basedOn w:val="44"/>
    <w:next w:val="44"/>
    <w:qFormat/>
    <w:uiPriority w:val="0"/>
    <w:pPr>
      <w:widowControl/>
      <w:snapToGrid/>
      <w:ind w:firstLine="480"/>
    </w:pPr>
    <w:rPr>
      <w:snapToGrid/>
    </w:rPr>
  </w:style>
  <w:style w:type="paragraph" w:customStyle="1" w:styleId="47">
    <w:name w:val="正文（居中）"/>
    <w:basedOn w:val="1"/>
    <w:qFormat/>
    <w:uiPriority w:val="0"/>
    <w:pPr>
      <w:spacing w:line="240" w:lineRule="auto"/>
      <w:ind w:firstLine="0" w:firstLineChars="0"/>
      <w:jc w:val="center"/>
    </w:pPr>
  </w:style>
  <w:style w:type="paragraph" w:customStyle="1" w:styleId="48">
    <w:name w:val="lh-正文-报告表"/>
    <w:basedOn w:val="1"/>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wmf"/><Relationship Id="rId21" Type="http://schemas.openxmlformats.org/officeDocument/2006/relationships/oleObject" Target="embeddings/oleObject3.bin"/><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3.wmf"/><Relationship Id="rId17" Type="http://schemas.openxmlformats.org/officeDocument/2006/relationships/oleObject" Target="embeddings/oleObject1.bin"/><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174</Words>
  <Characters>205</Characters>
  <Lines>0</Lines>
  <Paragraphs>0</Paragraphs>
  <TotalTime>2</TotalTime>
  <ScaleCrop>false</ScaleCrop>
  <LinksUpToDate>false</LinksUpToDate>
  <CharactersWithSpaces>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2025-03-11T10:34:00Z</dcterms:created>
  <dc:creator>紫新</dc:creator>
  <cp:lastModifiedBy>我叫創</cp:lastModifiedBy>
  <dcterms:modified xsi:type="dcterms:W3CDTF">2026-01-14T04:11:16Z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CCD2BDE7A78E4187931C992B8DE1758A_13</vt:lpwstr>
  </property>
  <property fmtid="{D5CDD505-2E9C-101B-9397-08002B2CF9AE}" pid="4" name="KSOTemplateDocerSaveRecord">
    <vt:lpwstr>eyJoZGlkIjoiYWU4OTZiMzJmYjVjNGUxYWIxOTdjN2M3NjMxMDJmODQiLCJ1c2VySWQiOiIyNjEzOTQzNTAifQ==</vt:lpwstr>
  </property>
</Properties>
</file>