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797A75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color w:val="auto"/>
          <w:sz w:val="44"/>
          <w:szCs w:val="44"/>
          <w:lang w:val="zh-CN" w:bidi="ar"/>
        </w:rPr>
      </w:pPr>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bCs/>
          <w:color w:val="auto"/>
          <w:sz w:val="44"/>
          <w:szCs w:val="44"/>
          <w:lang w:val="zh-CN" w:bidi="ar"/>
        </w:rPr>
        <w:t>华能新疆公司清能分公司克拉玛依光伏</w:t>
      </w:r>
    </w:p>
    <w:p w14:paraId="04F17A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rPr>
      </w:pPr>
      <w:r>
        <w:rPr>
          <w:rFonts w:hint="eastAsia" w:ascii="Times New Roman" w:hAnsi="Times New Roman" w:eastAsia="方正小标宋简体"/>
          <w:bCs/>
          <w:color w:val="auto"/>
          <w:sz w:val="44"/>
          <w:szCs w:val="44"/>
          <w:lang w:val="zh-CN" w:bidi="ar"/>
        </w:rPr>
        <w:t>电站危废贮存库项目</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克拉玛依天华新能源电力有限公司：</w:t>
      </w:r>
    </w:p>
    <w:p w14:paraId="419E1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rPr>
        <w:t>华能新疆公司清能分公司克拉玛依光伏</w:t>
      </w:r>
    </w:p>
    <w:p w14:paraId="66267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电站危废贮存库项目</w:t>
      </w:r>
      <w:r>
        <w:rPr>
          <w:rFonts w:hint="default" w:ascii="Times New Roman" w:hAnsi="Times New Roman" w:eastAsia="仿宋_GB2312" w:cs="Times New Roman"/>
          <w:sz w:val="32"/>
          <w:szCs w:val="32"/>
        </w:rPr>
        <w:t>&gt;的请示》收悉。经研究，批复如下：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位于七师1</w:t>
      </w:r>
      <w:r>
        <w:rPr>
          <w:rFonts w:hint="eastAsia"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团，项目区中心地理位置坐标为</w:t>
      </w:r>
      <w:bookmarkStart w:id="0" w:name="_Hlk180516248"/>
      <w:r>
        <w:rPr>
          <w:rFonts w:hint="default" w:ascii="Times New Roman" w:hAnsi="Times New Roman" w:eastAsia="仿宋_GB2312" w:cs="Times New Roman"/>
          <w:sz w:val="32"/>
          <w:szCs w:val="32"/>
          <w:lang w:val="en-US" w:eastAsia="zh-CN"/>
        </w:rPr>
        <w:t>东经84°51′50.480″，北纬44°46′35.304″。</w:t>
      </w:r>
      <w:bookmarkEnd w:id="0"/>
      <w:r>
        <w:rPr>
          <w:rFonts w:hint="default" w:ascii="Times New Roman" w:hAnsi="Times New Roman" w:eastAsia="仿宋_GB2312" w:cs="Times New Roman"/>
          <w:sz w:val="32"/>
          <w:szCs w:val="32"/>
          <w:lang w:val="en-US" w:eastAsia="zh-CN"/>
        </w:rPr>
        <w:t>项目建设危险废物贮存库一座，采取一体化预置式危险废物贮存库</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用于贮存光伏电站检修时产生的废变压器油、废油桶、废铅蓄电池及运行时产生的废活性炭等。本项目投资10.6万元，环保投资10.6万元，占总投资的100%。</w:t>
      </w:r>
    </w:p>
    <w:p w14:paraId="61BE4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725D4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w:t>
      </w:r>
      <w:r>
        <w:rPr>
          <w:rFonts w:hint="eastAsia" w:eastAsia="仿宋_GB2312" w:cs="Times New Roman"/>
          <w:b w:val="0"/>
          <w:bCs/>
          <w:sz w:val="32"/>
          <w:szCs w:val="32"/>
          <w:lang w:val="en-US" w:eastAsia="zh-CN"/>
        </w:rPr>
        <w:t>严格落实大气污染防治措施。废变压器油暂存过程中产生的有机废气由风机引至活性炭装置吸附后采取无组织排放。无组织厂界浓度执行《大气污染物综合排放标准》（GB16297-1996）中表2非甲烷总烃无组织排放限值。</w:t>
      </w:r>
    </w:p>
    <w:p w14:paraId="1AC09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rPr>
        <w:t>）严格落实噪声污染防治措施。选用低噪声设备，采用基础减震、加设减振橡胶垫等措施，厂界噪声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类功能区环境标准限值</w:t>
      </w:r>
      <w:r>
        <w:rPr>
          <w:rFonts w:hint="eastAsia" w:eastAsia="仿宋_GB2312" w:cs="Times New Roman"/>
          <w:sz w:val="32"/>
          <w:szCs w:val="32"/>
          <w:lang w:eastAsia="zh-CN"/>
        </w:rPr>
        <w:t>。</w:t>
      </w:r>
    </w:p>
    <w:p w14:paraId="44055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rPr>
        <w:t>）严格落实固体废物分类处置和综合利用措施。</w:t>
      </w:r>
      <w:r>
        <w:rPr>
          <w:rFonts w:hint="default" w:ascii="Times New Roman" w:hAnsi="Times New Roman" w:eastAsia="仿宋_GB2312" w:cs="Times New Roman"/>
          <w:sz w:val="32"/>
          <w:szCs w:val="32"/>
          <w:lang w:val="en-US" w:eastAsia="zh-CN"/>
        </w:rPr>
        <w:t>废变压器油、废油桶、废铅蓄电池以及废活性炭</w:t>
      </w:r>
      <w:r>
        <w:rPr>
          <w:rFonts w:hint="eastAsia" w:eastAsia="仿宋_GB2312" w:cs="Times New Roman"/>
          <w:sz w:val="32"/>
          <w:szCs w:val="32"/>
          <w:lang w:val="en-US" w:eastAsia="zh-CN"/>
        </w:rPr>
        <w:t>属于危险废物，在危废暂存间暂存，定期交由有资质的单位处置</w:t>
      </w:r>
      <w:r>
        <w:rPr>
          <w:rFonts w:hint="eastAsia" w:ascii="Times New Roman" w:hAnsi="Times New Roman" w:eastAsia="仿宋_GB2312" w:cs="Times New Roman"/>
          <w:snapToGrid w:val="0"/>
          <w:color w:val="auto"/>
          <w:sz w:val="32"/>
          <w:szCs w:val="32"/>
          <w:lang w:val="en-US" w:eastAsia="zh-CN"/>
        </w:rPr>
        <w:t>。</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p>
    <w:p w14:paraId="1CE7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四</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对危险废物贮存库</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5CED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lang w:eastAsia="zh-CN"/>
        </w:rPr>
        <w:t>）加强施工期环境保护，落实防沙治沙措施，防止施工扬尘、噪声污染。</w:t>
      </w:r>
    </w:p>
    <w:p w14:paraId="07F42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七</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2AAE6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1</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eastAsia" w:eastAsia="仿宋_GB2312" w:cs="Times New Roman"/>
          <w:bCs/>
          <w:sz w:val="32"/>
          <w:szCs w:val="32"/>
          <w:lang w:val="en-US" w:eastAsia="zh-CN"/>
        </w:rPr>
        <w:t>130</w:t>
      </w:r>
      <w:r>
        <w:rPr>
          <w:rFonts w:hint="default" w:ascii="Times New Roman" w:hAnsi="Times New Roman" w:eastAsia="仿宋_GB2312" w:cs="Times New Roman"/>
          <w:bCs/>
          <w:sz w:val="32"/>
          <w:szCs w:val="32"/>
        </w:rPr>
        <w:t>团城镇和生态保护中心，并按规定接受各级生态环境主管部门的监督检查。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480" w:firstLineChars="1400"/>
        <w:rPr>
          <w:rFonts w:hint="default" w:ascii="Times New Roman" w:hAnsi="Times New Roman" w:eastAsia="仿宋_GB2312" w:cs="Times New Roman"/>
          <w:bCs/>
          <w:sz w:val="32"/>
          <w:szCs w:val="32"/>
        </w:rPr>
      </w:pPr>
      <w:bookmarkStart w:id="1" w:name="_GoBack"/>
      <w:bookmarkEnd w:id="1"/>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21</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197306C">
      <w:pPr>
        <w:pStyle w:val="2"/>
        <w:rPr>
          <w:rFonts w:hint="default" w:ascii="Times New Roman" w:hAnsi="Times New Roman" w:eastAsia="仿宋_GB2312" w:cs="Times New Roman"/>
          <w:sz w:val="28"/>
          <w:szCs w:val="28"/>
        </w:rPr>
      </w:pPr>
    </w:p>
    <w:p w14:paraId="0F387741">
      <w:pPr>
        <w:rPr>
          <w:rFonts w:hint="default" w:ascii="Times New Roman" w:hAnsi="Times New Roman" w:eastAsia="仿宋_GB2312" w:cs="Times New Roman"/>
          <w:sz w:val="28"/>
          <w:szCs w:val="28"/>
        </w:rPr>
      </w:pPr>
    </w:p>
    <w:p w14:paraId="36AE3913">
      <w:pPr>
        <w:pStyle w:val="2"/>
        <w:rPr>
          <w:rFonts w:hint="default" w:ascii="Times New Roman" w:hAnsi="Times New Roman" w:eastAsia="仿宋_GB2312" w:cs="Times New Roman"/>
          <w:sz w:val="28"/>
          <w:szCs w:val="28"/>
        </w:rPr>
      </w:pPr>
    </w:p>
    <w:p w14:paraId="1C41DA7B">
      <w:pPr>
        <w:rPr>
          <w:rFonts w:hint="default" w:ascii="Times New Roman" w:hAnsi="Times New Roman" w:eastAsia="仿宋_GB2312" w:cs="Times New Roman"/>
          <w:sz w:val="28"/>
          <w:szCs w:val="28"/>
        </w:rPr>
      </w:pPr>
    </w:p>
    <w:p w14:paraId="4E20E991">
      <w:pPr>
        <w:pStyle w:val="2"/>
        <w:rPr>
          <w:rFonts w:hint="default" w:ascii="Times New Roman" w:hAnsi="Times New Roman" w:eastAsia="仿宋_GB2312" w:cs="Times New Roman"/>
          <w:sz w:val="28"/>
          <w:szCs w:val="28"/>
        </w:rPr>
      </w:pPr>
    </w:p>
    <w:p w14:paraId="05A40712">
      <w:pPr>
        <w:rPr>
          <w:rFonts w:hint="default" w:ascii="Times New Roman" w:hAnsi="Times New Roman" w:eastAsia="仿宋_GB2312" w:cs="Times New Roman"/>
          <w:sz w:val="28"/>
          <w:szCs w:val="28"/>
        </w:rPr>
      </w:pPr>
    </w:p>
    <w:p w14:paraId="60B1CE0B">
      <w:pPr>
        <w:pStyle w:val="2"/>
        <w:rPr>
          <w:rFonts w:hint="default" w:ascii="Times New Roman" w:hAnsi="Times New Roman" w:eastAsia="仿宋_GB2312" w:cs="Times New Roman"/>
          <w:sz w:val="28"/>
          <w:szCs w:val="28"/>
        </w:rPr>
      </w:pPr>
    </w:p>
    <w:p w14:paraId="77E62118">
      <w:pPr>
        <w:pStyle w:val="2"/>
        <w:rPr>
          <w:rFonts w:hint="default"/>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E52069D">
      <w:pPr>
        <w:pStyle w:val="2"/>
        <w:rPr>
          <w:rFonts w:hint="default" w:ascii="Times New Roman" w:hAnsi="Times New Roman" w:eastAsia="仿宋_GB2312" w:cs="Times New Roman"/>
          <w:sz w:val="28"/>
          <w:szCs w:val="28"/>
        </w:rPr>
      </w:pPr>
    </w:p>
    <w:p w14:paraId="64D9F9A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w:t>
      </w:r>
      <w:r>
        <w:rPr>
          <w:rFonts w:hint="default" w:ascii="Times New Roman" w:hAnsi="Times New Roman" w:eastAsia="仿宋_GB2312" w:cs="Times New Roman"/>
          <w:sz w:val="28"/>
          <w:szCs w:val="28"/>
          <w:lang w:val="en-US" w:eastAsia="zh-CN"/>
        </w:rPr>
        <w:t>1</w:t>
      </w:r>
      <w:r>
        <w:rPr>
          <w:rFonts w:hint="eastAsia" w:eastAsia="仿宋_GB2312" w:cs="Times New Roman"/>
          <w:sz w:val="28"/>
          <w:szCs w:val="28"/>
          <w:lang w:val="en-US" w:eastAsia="zh-CN"/>
        </w:rPr>
        <w:t>30</w:t>
      </w:r>
      <w:r>
        <w:rPr>
          <w:rFonts w:hint="default" w:ascii="Times New Roman" w:hAnsi="Times New Roman" w:eastAsia="仿宋_GB2312" w:cs="Times New Roman"/>
          <w:sz w:val="28"/>
          <w:szCs w:val="28"/>
        </w:rPr>
        <w:t>团城镇和生态保护中心</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4D5422F"/>
    <w:rsid w:val="06103791"/>
    <w:rsid w:val="064F49ED"/>
    <w:rsid w:val="07EF0236"/>
    <w:rsid w:val="095B26AD"/>
    <w:rsid w:val="0A0D21E1"/>
    <w:rsid w:val="0A6D7B38"/>
    <w:rsid w:val="0A717628"/>
    <w:rsid w:val="0BD55735"/>
    <w:rsid w:val="0CD67C16"/>
    <w:rsid w:val="0DEC6201"/>
    <w:rsid w:val="0E927B6D"/>
    <w:rsid w:val="0F3A0A84"/>
    <w:rsid w:val="0F8E2A2A"/>
    <w:rsid w:val="0F9811B3"/>
    <w:rsid w:val="10415B91"/>
    <w:rsid w:val="11E46932"/>
    <w:rsid w:val="13222B5F"/>
    <w:rsid w:val="13411924"/>
    <w:rsid w:val="1367781A"/>
    <w:rsid w:val="13B33653"/>
    <w:rsid w:val="15E46F00"/>
    <w:rsid w:val="182926C8"/>
    <w:rsid w:val="19A61553"/>
    <w:rsid w:val="1ABC044C"/>
    <w:rsid w:val="1C444C69"/>
    <w:rsid w:val="1CB3762C"/>
    <w:rsid w:val="1D4B3D09"/>
    <w:rsid w:val="1E1F706C"/>
    <w:rsid w:val="1E222CBC"/>
    <w:rsid w:val="1F0C482E"/>
    <w:rsid w:val="1F6410B2"/>
    <w:rsid w:val="1F792DAF"/>
    <w:rsid w:val="20735A50"/>
    <w:rsid w:val="2177331E"/>
    <w:rsid w:val="21A1039B"/>
    <w:rsid w:val="24C7636B"/>
    <w:rsid w:val="24F3437F"/>
    <w:rsid w:val="25360A0C"/>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B90705F"/>
    <w:rsid w:val="3D9918A0"/>
    <w:rsid w:val="3E3F2FBE"/>
    <w:rsid w:val="3E5263F1"/>
    <w:rsid w:val="3E8F41EC"/>
    <w:rsid w:val="3ED656D0"/>
    <w:rsid w:val="406B063D"/>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4FC11A85"/>
    <w:rsid w:val="5144471C"/>
    <w:rsid w:val="51CA44D0"/>
    <w:rsid w:val="52016A0C"/>
    <w:rsid w:val="521E31BF"/>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DB04EE7"/>
    <w:rsid w:val="5E116A2B"/>
    <w:rsid w:val="5EE50BC0"/>
    <w:rsid w:val="5FCF6BF0"/>
    <w:rsid w:val="60310561"/>
    <w:rsid w:val="609D79A4"/>
    <w:rsid w:val="60BB7E2A"/>
    <w:rsid w:val="6109328C"/>
    <w:rsid w:val="612B239E"/>
    <w:rsid w:val="623C143F"/>
    <w:rsid w:val="62A019CE"/>
    <w:rsid w:val="62E3579C"/>
    <w:rsid w:val="644952F5"/>
    <w:rsid w:val="6703077D"/>
    <w:rsid w:val="679C6136"/>
    <w:rsid w:val="68152516"/>
    <w:rsid w:val="69392234"/>
    <w:rsid w:val="698B1E19"/>
    <w:rsid w:val="6CC3509F"/>
    <w:rsid w:val="6F2512C7"/>
    <w:rsid w:val="6F4158DC"/>
    <w:rsid w:val="708446DD"/>
    <w:rsid w:val="7375588F"/>
    <w:rsid w:val="73E5637C"/>
    <w:rsid w:val="74BD1F6B"/>
    <w:rsid w:val="75006CB2"/>
    <w:rsid w:val="7516167C"/>
    <w:rsid w:val="75F30136"/>
    <w:rsid w:val="76017E90"/>
    <w:rsid w:val="78422A56"/>
    <w:rsid w:val="79AC0800"/>
    <w:rsid w:val="7B220D7A"/>
    <w:rsid w:val="7BE007E5"/>
    <w:rsid w:val="7C86579B"/>
    <w:rsid w:val="7E671FD9"/>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华文中宋"/>
      <w:b/>
      <w:bCs/>
      <w:w w:val="90"/>
      <w:sz w:val="44"/>
    </w:rPr>
  </w:style>
  <w:style w:type="paragraph" w:styleId="3">
    <w:name w:val="index 5"/>
    <w:basedOn w:val="1"/>
    <w:next w:val="1"/>
    <w:qFormat/>
    <w:uiPriority w:val="0"/>
    <w:pPr>
      <w:ind w:left="800" w:leftChars="8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3"/>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6d9d9fda-83c5-4a33-b589-b4bce5609d1e</errorID>
      <errorWord>&lt;</errorWord>
      <group>L1_Format</group>
      <groupName>格式问题</groupName>
      <ability>L2_HalfPunc</ability>
      <abilityName>全半角检查</abilityName>
      <candidateList>
        <item>〈</item>
      </candidateList>
      <explain>文本全半角错误。</explain>
      <paraID>419E1D8A</paraID>
      <start>8</start>
      <end>9</end>
      <status>unmodified</status>
      <modifiedWord/>
      <trackRevisions>false</trackRevisions>
    </reviewItem>
    <reviewItem>
      <errorID>7156336e-d193-4057-bd03-4dfd4b3d7323</errorID>
      <errorWord>&gt;</errorWord>
      <group>L1_Format</group>
      <groupName>格式问题</groupName>
      <ability>L2_HalfPunc</ability>
      <abilityName>全半角检查</abilityName>
      <candidateList>
        <item>〉</item>
      </candidateList>
      <explain>文本全半角错误。</explain>
      <paraID>662674EC</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fd8c6-e876-4f61-9315-e81f7e6f1bf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1573</Words>
  <Characters>1672</Characters>
  <Lines>0</Lines>
  <Paragraphs>0</Paragraphs>
  <TotalTime>69</TotalTime>
  <ScaleCrop>false</ScaleCrop>
  <LinksUpToDate>false</LinksUpToDate>
  <CharactersWithSpaces>1721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2026-01-16T02:46:00Z</cp:lastPrinted>
  <dcterms:modified xsi:type="dcterms:W3CDTF">2026-01-21T02:55:08Z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985A056750E94023B8FEBA82872390A0_13</vt:lpwstr>
  </property>
  <property fmtid="{D5CDD505-2E9C-101B-9397-08002B2CF9AE}" pid="4" name="KSOTemplateDocerSaveRecord">
    <vt:lpwstr>eyJoZGlkIjoiOTM4ZGE5MjAwOTRjNzE3YmI3NzllODlkMzQzMmYzMzgiLCJ1c2VySWQiOiI1NTE5NjI2NTYifQ==</vt:lpwstr>
  </property>
</Properties>
</file>