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3F2161AD">
      <w:pPr>
        <w:spacing w:line="620" w:lineRule="exact"/>
        <w:jc w:val="center"/>
        <w:rPr>
          <w:rFonts w:hint="default" w:ascii="Times New Roman" w:hAnsi="Times New Roman" w:eastAsia="方正小标宋简体" w:cs="Times New Roman"/>
          <w:color w:val="auto"/>
          <w:sz w:val="44"/>
          <w:szCs w:val="44"/>
          <w:highlight w:val="none"/>
          <w:lang w:val="zh-CN"/>
        </w:rPr>
      </w:pPr>
      <w:r>
        <w:rPr>
          <w:rFonts w:hint="eastAsia" w:ascii="方正小标宋简体" w:hAnsi="宋体" w:eastAsia="方正小标宋简体"/>
          <w:bCs/>
          <w:snapToGrid w:val="0"/>
          <w:kern w:val="0"/>
          <w:sz w:val="44"/>
          <w:szCs w:val="44"/>
        </w:rPr>
        <w:t>关于</w:t>
      </w:r>
      <w:r>
        <w:rPr>
          <w:rFonts w:hint="default" w:ascii="Times New Roman" w:hAnsi="Times New Roman" w:eastAsia="方正小标宋简体" w:cs="Times New Roman"/>
          <w:color w:val="auto"/>
          <w:sz w:val="44"/>
          <w:szCs w:val="44"/>
          <w:highlight w:val="none"/>
          <w:lang w:val="zh-CN"/>
        </w:rPr>
        <w:t>胡杨河经开区百盛物资循环利用产业园</w:t>
      </w:r>
    </w:p>
    <w:p w14:paraId="104FDB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rPr>
      </w:pPr>
      <w:r>
        <w:rPr>
          <w:rFonts w:hint="default" w:ascii="Times New Roman" w:hAnsi="Times New Roman" w:eastAsia="方正小标宋简体" w:cs="Times New Roman"/>
          <w:color w:val="auto"/>
          <w:sz w:val="44"/>
          <w:szCs w:val="44"/>
          <w:highlight w:val="none"/>
          <w:lang w:val="zh-CN"/>
        </w:rPr>
        <w:t>建设项目（一期、二期）</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新疆百盛物流有限公司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胡杨河经开区百盛物资循环利用产业园建设项目（一期、二期）</w:t>
      </w:r>
      <w:r>
        <w:rPr>
          <w:rFonts w:hint="default" w:ascii="Times New Roman" w:hAnsi="Times New Roman" w:eastAsia="仿宋_GB2312" w:cs="Times New Roman"/>
          <w:sz w:val="32"/>
          <w:szCs w:val="32"/>
        </w:rPr>
        <w:t>&gt;的请示》收悉。经研究，批复如下：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东经84°51′42.159″，北纬44°51′8.423″。</w:t>
      </w:r>
      <w:bookmarkEnd w:id="0"/>
      <w:r>
        <w:rPr>
          <w:rFonts w:hint="default" w:ascii="Times New Roman" w:hAnsi="Times New Roman" w:eastAsia="仿宋_GB2312" w:cs="Times New Roman"/>
          <w:sz w:val="32"/>
          <w:szCs w:val="32"/>
          <w:lang w:val="en-US" w:eastAsia="zh-CN"/>
        </w:rPr>
        <w:t>项目新建生产车间、综合楼等构筑物，购置报废机动车拆解生产线1条、废旧冰箱拆解破碎生产线1条、废旧洗衣机拆解生产线1条、废旧空调拆解生产线2条、废旧电视/电脑拆解生产线1条和废光伏板拆解生产线1条。项目总投资44271.8万元，其中环保投资381万元，占总投资的0.86%。</w:t>
      </w:r>
    </w:p>
    <w:p w14:paraId="61BE4A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6AA2A9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（一）严格落实大气污染防治措施。车辆拆解废油液抽取</w:t>
      </w:r>
      <w:r>
        <w:rPr>
          <w:rFonts w:hint="default" w:ascii="Times New Roman" w:hAnsi="Times New Roman" w:eastAsia="仿宋_GB2312" w:cs="Times New Roman"/>
          <w:b w:val="0"/>
          <w:bCs/>
          <w:sz w:val="32"/>
          <w:szCs w:val="32"/>
          <w:lang w:val="en-US" w:eastAsia="zh-CN"/>
        </w:rPr>
        <w:t>区域上方设置集气罩，废气经集气罩收集通过1套两级活性炭吸附后，由15米高排气筒（DA001）排放；</w:t>
      </w:r>
      <w:r>
        <w:rPr>
          <w:rFonts w:hint="default" w:ascii="Times New Roman" w:hAnsi="Times New Roman" w:eastAsia="仿宋_GB2312" w:cs="Times New Roman"/>
          <w:b w:val="0"/>
          <w:bCs/>
          <w:sz w:val="32"/>
          <w:szCs w:val="32"/>
        </w:rPr>
        <w:t>车辆拆解等离子切割、打包</w:t>
      </w:r>
      <w:r>
        <w:rPr>
          <w:rFonts w:hint="default" w:ascii="Times New Roman" w:hAnsi="Times New Roman" w:eastAsia="仿宋_GB2312" w:cs="Times New Roman"/>
          <w:b w:val="0"/>
          <w:bCs/>
          <w:sz w:val="32"/>
          <w:szCs w:val="32"/>
          <w:lang w:val="en-US" w:eastAsia="zh-CN"/>
        </w:rPr>
        <w:t>区域上方分别设置集气罩，废气经集气罩收集通过布袋除尘器处理后，由15米高排气筒（DA002）排放；废钢铁破碎磁选工段产生的废气经集气罩收集，通过旋风除尘器+布袋除尘器处理后，由15米高排气筒（DA003）排放；</w:t>
      </w:r>
      <w:r>
        <w:rPr>
          <w:rFonts w:hint="default" w:ascii="Times New Roman" w:hAnsi="Times New Roman" w:eastAsia="仿宋_GB2312" w:cs="Times New Roman"/>
          <w:b w:val="0"/>
          <w:bCs/>
          <w:sz w:val="32"/>
          <w:szCs w:val="32"/>
        </w:rPr>
        <w:t>废油液贮存</w:t>
      </w:r>
      <w:r>
        <w:rPr>
          <w:rFonts w:hint="default" w:ascii="Times New Roman" w:hAnsi="Times New Roman" w:eastAsia="仿宋_GB2312" w:cs="Times New Roman"/>
          <w:b w:val="0"/>
          <w:bCs/>
          <w:sz w:val="32"/>
          <w:szCs w:val="32"/>
          <w:lang w:val="en-US" w:eastAsia="zh-CN"/>
        </w:rPr>
        <w:t>间产生的废气经集气罩收集，通过两级活性炭吸附后，由15米高排气筒（DA004）排放</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废冰箱拆解预处理、</w:t>
      </w:r>
      <w:r>
        <w:rPr>
          <w:rFonts w:hint="default" w:ascii="Times New Roman" w:hAnsi="Times New Roman" w:eastAsia="仿宋_GB2312" w:cs="Times New Roman"/>
          <w:b w:val="0"/>
          <w:bCs/>
          <w:sz w:val="32"/>
          <w:szCs w:val="32"/>
        </w:rPr>
        <w:t>抽氟、沥油</w:t>
      </w:r>
      <w:r>
        <w:rPr>
          <w:rFonts w:hint="default" w:ascii="Times New Roman" w:hAnsi="Times New Roman" w:eastAsia="仿宋_GB2312" w:cs="Times New Roman"/>
          <w:b w:val="0"/>
          <w:bCs/>
          <w:sz w:val="32"/>
          <w:szCs w:val="32"/>
          <w:lang w:val="en-US" w:eastAsia="zh-CN"/>
        </w:rPr>
        <w:t>各工段均设置集气罩收集废气，预处理废气通过袋式除尘器处理，</w:t>
      </w:r>
      <w:r>
        <w:rPr>
          <w:rFonts w:hint="default" w:ascii="Times New Roman" w:hAnsi="Times New Roman" w:eastAsia="仿宋_GB2312" w:cs="Times New Roman"/>
          <w:b w:val="0"/>
          <w:bCs/>
          <w:sz w:val="32"/>
          <w:szCs w:val="32"/>
        </w:rPr>
        <w:t>抽氟、沥油</w:t>
      </w:r>
      <w:r>
        <w:rPr>
          <w:rFonts w:hint="default" w:ascii="Times New Roman" w:hAnsi="Times New Roman" w:eastAsia="仿宋_GB2312" w:cs="Times New Roman"/>
          <w:b w:val="0"/>
          <w:bCs/>
          <w:sz w:val="32"/>
          <w:szCs w:val="32"/>
          <w:lang w:val="en-US" w:eastAsia="zh-CN"/>
        </w:rPr>
        <w:t>废气通过两级活性炭吸附处理，处理后的废气共由15米高排气筒（DA005）排放。</w:t>
      </w:r>
      <w:r>
        <w:rPr>
          <w:rFonts w:hint="default" w:ascii="Times New Roman" w:hAnsi="Times New Roman" w:eastAsia="仿宋_GB2312" w:cs="Times New Roman"/>
          <w:b w:val="0"/>
          <w:bCs/>
          <w:sz w:val="32"/>
          <w:szCs w:val="32"/>
        </w:rPr>
        <w:t>冰箱箱体及其他电器电子壳体破碎</w:t>
      </w:r>
      <w:r>
        <w:rPr>
          <w:rFonts w:hint="default" w:ascii="Times New Roman" w:hAnsi="Times New Roman" w:eastAsia="仿宋_GB2312" w:cs="Times New Roman"/>
          <w:b w:val="0"/>
          <w:bCs/>
          <w:sz w:val="32"/>
          <w:szCs w:val="32"/>
          <w:lang w:val="en-US" w:eastAsia="zh-CN"/>
        </w:rPr>
        <w:t>产生的废气经集气罩收集，通过</w:t>
      </w:r>
      <w:r>
        <w:rPr>
          <w:rFonts w:hint="default" w:ascii="Times New Roman" w:hAnsi="Times New Roman" w:eastAsia="仿宋_GB2312" w:cs="Times New Roman"/>
          <w:b w:val="0"/>
          <w:bCs/>
          <w:sz w:val="32"/>
          <w:szCs w:val="32"/>
        </w:rPr>
        <w:t>旋风分离器+袋式除尘器+两级活性炭吸附</w:t>
      </w:r>
      <w:r>
        <w:rPr>
          <w:rFonts w:hint="default" w:ascii="Times New Roman" w:hAnsi="Times New Roman" w:eastAsia="仿宋_GB2312" w:cs="Times New Roman"/>
          <w:b w:val="0"/>
          <w:bCs/>
          <w:sz w:val="32"/>
          <w:szCs w:val="32"/>
          <w:lang w:val="en-US" w:eastAsia="zh-CN"/>
        </w:rPr>
        <w:t>处理后，由15米高排气筒（DA006）排放</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废洗衣机拆解生产线各工段设置集气罩收集废气，通过布袋除尘器处理后，由15米高排气筒（DA007）排放</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废空调拆解预处理、</w:t>
      </w:r>
      <w:r>
        <w:rPr>
          <w:rFonts w:hint="default" w:ascii="Times New Roman" w:hAnsi="Times New Roman" w:eastAsia="仿宋_GB2312" w:cs="Times New Roman"/>
          <w:b w:val="0"/>
          <w:bCs/>
          <w:sz w:val="32"/>
          <w:szCs w:val="32"/>
        </w:rPr>
        <w:t>抽氟、沥油</w:t>
      </w:r>
      <w:r>
        <w:rPr>
          <w:rFonts w:hint="default" w:ascii="Times New Roman" w:hAnsi="Times New Roman" w:eastAsia="仿宋_GB2312" w:cs="Times New Roman"/>
          <w:b w:val="0"/>
          <w:bCs/>
          <w:sz w:val="32"/>
          <w:szCs w:val="32"/>
          <w:lang w:val="en-US" w:eastAsia="zh-CN"/>
        </w:rPr>
        <w:t>各工段均设置集气罩收集废气，预处理废气通过袋式除尘器处理，</w:t>
      </w:r>
      <w:r>
        <w:rPr>
          <w:rFonts w:hint="default" w:ascii="Times New Roman" w:hAnsi="Times New Roman" w:eastAsia="仿宋_GB2312" w:cs="Times New Roman"/>
          <w:b w:val="0"/>
          <w:bCs/>
          <w:sz w:val="32"/>
          <w:szCs w:val="32"/>
        </w:rPr>
        <w:t>抽氟、沥油</w:t>
      </w:r>
      <w:r>
        <w:rPr>
          <w:rFonts w:hint="default" w:ascii="Times New Roman" w:hAnsi="Times New Roman" w:eastAsia="仿宋_GB2312" w:cs="Times New Roman"/>
          <w:b w:val="0"/>
          <w:bCs/>
          <w:sz w:val="32"/>
          <w:szCs w:val="32"/>
          <w:lang w:val="en-US" w:eastAsia="zh-CN"/>
        </w:rPr>
        <w:t>废气通过两级活性炭吸附处理，处理后的废气共由15米高排气筒（DA008）排放</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废电视</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电脑拆解各</w:t>
      </w:r>
      <w:r>
        <w:rPr>
          <w:rFonts w:hint="default" w:ascii="Times New Roman" w:hAnsi="Times New Roman" w:eastAsia="仿宋_GB2312" w:cs="Times New Roman"/>
          <w:b w:val="0"/>
          <w:bCs/>
          <w:sz w:val="32"/>
          <w:szCs w:val="32"/>
          <w:lang w:val="en-US" w:eastAsia="zh-CN"/>
        </w:rPr>
        <w:t>工段</w:t>
      </w:r>
      <w:r>
        <w:rPr>
          <w:rFonts w:hint="default" w:ascii="Times New Roman" w:hAnsi="Times New Roman" w:eastAsia="仿宋_GB2312" w:cs="Times New Roman"/>
          <w:b w:val="0"/>
          <w:bCs/>
          <w:sz w:val="32"/>
          <w:szCs w:val="32"/>
        </w:rPr>
        <w:t>产生的</w:t>
      </w:r>
      <w:r>
        <w:rPr>
          <w:rFonts w:hint="default" w:ascii="Times New Roman" w:hAnsi="Times New Roman" w:eastAsia="仿宋_GB2312" w:cs="Times New Roman"/>
          <w:b w:val="0"/>
          <w:bCs/>
          <w:sz w:val="32"/>
          <w:szCs w:val="32"/>
          <w:lang w:val="en-US" w:eastAsia="zh-CN"/>
        </w:rPr>
        <w:t>废气</w:t>
      </w:r>
      <w:r>
        <w:rPr>
          <w:rFonts w:hint="default" w:ascii="Times New Roman" w:hAnsi="Times New Roman" w:eastAsia="仿宋_GB2312" w:cs="Times New Roman"/>
          <w:b w:val="0"/>
          <w:bCs/>
          <w:sz w:val="32"/>
          <w:szCs w:val="32"/>
        </w:rPr>
        <w:t>经上方集气罩收集</w:t>
      </w:r>
      <w:r>
        <w:rPr>
          <w:rFonts w:hint="default" w:ascii="Times New Roman" w:hAnsi="Times New Roman" w:eastAsia="仿宋_GB2312" w:cs="Times New Roman"/>
          <w:b w:val="0"/>
          <w:bCs/>
          <w:sz w:val="32"/>
          <w:szCs w:val="32"/>
          <w:lang w:val="en-US" w:eastAsia="zh-CN"/>
        </w:rPr>
        <w:t>，通过布袋除尘器处理，荧光灯管拆解产生的废气经两级载硫活性炭吸附处理，处理后的废气共由15米高排气筒（DA009）排放。以上各工段有组织废气中颗粒物、非甲烷总烃、铅及其化合物、汞及其化合物排放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《大气污染物综合排放标准》（GB16297-1996）表2新污染源大气污染物排放限值中二级标准要求。</w:t>
      </w:r>
    </w:p>
    <w:p w14:paraId="254E72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热解炉采用低氮燃烧，热解废气经炉内负压收集，通过高温旋风分离器+两级碱液吸收塔+两级冷凝+电捕焦油器+活性炭吸附+RCO催化燃烧系统处理，处理后的废气由15米高排气筒（DA010）排放。热解废气中颗粒物、二氧化硫、氮氧化物排放执行《兵团工业炉窑大气污染综合治理实施方案》限值要求，林格曼黑度、氟化物的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《工业炉窑大气污染物排放标准》（GB9078-1996）表2、表4要求，非甲烷总烃排放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《大气污染物综合排放标准》（GB16297-1996）新污染源大气污染物排放限值中二级标准要求。</w:t>
      </w:r>
    </w:p>
    <w:p w14:paraId="6CC255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光伏板筛分废气经集气罩收集，通过布袋除尘器处理后，由15米高排气筒（DA011）排放。颗粒物排放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《大气污染物综合排放标准》（GB16297-1996）新污染源大气污染物排放限值中二级标准要求。</w:t>
      </w:r>
    </w:p>
    <w:p w14:paraId="17640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厂房采取封闭式，并设置抽排风系统，保持车间通风，定期对车间进行打扫</w:t>
      </w:r>
      <w:r>
        <w:rPr>
          <w:rFonts w:hint="eastAsia" w:eastAsia="仿宋_GB2312" w:cs="Times New Roman"/>
          <w:b w:val="0"/>
          <w:bCs/>
          <w:sz w:val="32"/>
          <w:szCs w:val="32"/>
          <w:lang w:val="en-US" w:eastAsia="zh-CN"/>
        </w:rPr>
        <w:t>。</w:t>
      </w:r>
      <w:r>
        <w:rPr>
          <w:rFonts w:hint="eastAsia" w:ascii="Times New Roman" w:hAnsi="Times New Roman" w:eastAsia="仿宋_GB2312" w:cs="Times New Roman"/>
          <w:b w:val="0"/>
          <w:bCs/>
          <w:sz w:val="32"/>
          <w:szCs w:val="32"/>
          <w:lang w:val="en-US" w:eastAsia="zh-CN"/>
        </w:rPr>
        <w:t>厂界颗粒物、非甲烷总烃无组织排放均</w:t>
      </w:r>
      <w:r>
        <w:rPr>
          <w:rFonts w:hint="eastAsia" w:eastAsia="仿宋_GB2312" w:cs="Times New Roman"/>
          <w:b w:val="0"/>
          <w:bCs/>
          <w:sz w:val="32"/>
          <w:szCs w:val="32"/>
          <w:lang w:val="en-US" w:eastAsia="zh-CN"/>
        </w:rPr>
        <w:t>执行</w:t>
      </w:r>
      <w:r>
        <w:rPr>
          <w:rFonts w:hint="eastAsia" w:ascii="Times New Roman" w:hAnsi="Times New Roman" w:eastAsia="仿宋_GB2312" w:cs="Times New Roman"/>
          <w:b w:val="0"/>
          <w:bCs/>
          <w:sz w:val="32"/>
          <w:szCs w:val="32"/>
          <w:lang w:val="en-US" w:eastAsia="zh-CN"/>
        </w:rPr>
        <w:t>《大气污染物综合排放标准》（GB16297-1996）中表2新污染源大气污染物排放限值要求，厂区内挥发性有机物无组织排放</w:t>
      </w:r>
      <w:r>
        <w:rPr>
          <w:rFonts w:hint="eastAsia" w:eastAsia="仿宋_GB2312" w:cs="Times New Roman"/>
          <w:b w:val="0"/>
          <w:bCs/>
          <w:sz w:val="32"/>
          <w:szCs w:val="32"/>
          <w:lang w:val="en-US" w:eastAsia="zh-CN"/>
        </w:rPr>
        <w:t>执行</w:t>
      </w:r>
      <w:r>
        <w:rPr>
          <w:rFonts w:hint="eastAsia" w:ascii="Times New Roman" w:hAnsi="Times New Roman" w:eastAsia="仿宋_GB2312" w:cs="Times New Roman"/>
          <w:b w:val="0"/>
          <w:bCs/>
          <w:sz w:val="32"/>
          <w:szCs w:val="32"/>
          <w:lang w:val="en-US" w:eastAsia="zh-CN"/>
        </w:rPr>
        <w:t>《挥发性有机物无组织排放控制标准》（GB37822-2019）中表A.1厂区内VOCs无组织排放限值要求。</w:t>
      </w:r>
    </w:p>
    <w:p w14:paraId="359469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rPr>
      </w:pPr>
      <w:r>
        <w:rPr>
          <w:rFonts w:hint="eastAsia" w:eastAsia="仿宋_GB2312" w:cs="Times New Roman"/>
          <w:b w:val="0"/>
          <w:bCs w:val="0"/>
          <w:w w:val="100"/>
          <w:kern w:val="2"/>
          <w:sz w:val="32"/>
          <w:szCs w:val="32"/>
          <w:lang w:val="en-US" w:eastAsia="zh-CN" w:bidi="ar-SA"/>
        </w:rPr>
        <w:t>该项目</w:t>
      </w:r>
      <w:r>
        <w:rPr>
          <w:rFonts w:hint="eastAsia" w:ascii="Times New Roman" w:hAnsi="Times New Roman" w:eastAsia="仿宋_GB2312" w:cs="仿宋_GB2312"/>
          <w:bCs w:val="0"/>
          <w:kern w:val="2"/>
          <w:sz w:val="32"/>
          <w:szCs w:val="32"/>
          <w:lang w:val="en-US" w:eastAsia="zh-CN"/>
        </w:rPr>
        <w:t>VOCs</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ascii="Times New Roman" w:hAnsi="Times New Roman" w:eastAsia="仿宋_GB2312" w:cs="仿宋_GB2312"/>
          <w:bCs w:val="0"/>
          <w:kern w:val="2"/>
          <w:sz w:val="32"/>
          <w:szCs w:val="32"/>
          <w:lang w:val="en-US" w:eastAsia="zh-CN"/>
        </w:rPr>
        <w:t>0.829</w:t>
      </w:r>
      <w:r>
        <w:rPr>
          <w:rFonts w:hint="eastAsia" w:ascii="Times New Roman" w:hAnsi="Times New Roman" w:eastAsia="仿宋_GB2312" w:cs="Times New Roman"/>
          <w:b w:val="0"/>
          <w:bCs w:val="0"/>
          <w:w w:val="100"/>
          <w:kern w:val="2"/>
          <w:sz w:val="32"/>
          <w:szCs w:val="32"/>
          <w:lang w:val="en-US" w:eastAsia="zh-CN" w:bidi="ar-SA"/>
        </w:rPr>
        <w:t>吨/年，NO</w:t>
      </w:r>
      <w:r>
        <w:rPr>
          <w:rFonts w:hint="eastAsia" w:ascii="Times New Roman" w:hAnsi="Times New Roman" w:eastAsia="仿宋_GB2312" w:cs="Times New Roman"/>
          <w:b w:val="0"/>
          <w:bCs w:val="0"/>
          <w:w w:val="100"/>
          <w:kern w:val="2"/>
          <w:sz w:val="32"/>
          <w:szCs w:val="32"/>
          <w:vertAlign w:val="subscript"/>
          <w:lang w:val="en-US" w:eastAsia="zh-CN" w:bidi="ar-SA"/>
        </w:rPr>
        <w:t>X</w:t>
      </w:r>
      <w:r>
        <w:rPr>
          <w:rFonts w:hint="eastAsia" w:ascii="Times New Roman" w:hAnsi="Times New Roman" w:eastAsia="仿宋_GB2312" w:cs="Times New Roman"/>
          <w:b w:val="0"/>
          <w:bCs w:val="0"/>
          <w:w w:val="100"/>
          <w:kern w:val="2"/>
          <w:sz w:val="32"/>
          <w:szCs w:val="32"/>
          <w:lang w:val="en-US" w:eastAsia="zh-CN" w:bidi="ar-SA"/>
        </w:rPr>
        <w:t>排放总量不超过</w:t>
      </w:r>
      <w:r>
        <w:rPr>
          <w:rFonts w:hint="eastAsia" w:ascii="Times New Roman" w:hAnsi="Times New Roman" w:eastAsia="仿宋_GB2312" w:cs="仿宋_GB2312"/>
          <w:bCs w:val="0"/>
          <w:kern w:val="2"/>
          <w:sz w:val="32"/>
          <w:szCs w:val="32"/>
          <w:lang w:val="en-US" w:eastAsia="zh-CN"/>
        </w:rPr>
        <w:t>0.111</w:t>
      </w:r>
      <w:r>
        <w:rPr>
          <w:rFonts w:hint="eastAsia" w:ascii="Times New Roman" w:hAnsi="Times New Roman" w:eastAsia="仿宋_GB2312" w:cs="Times New Roman"/>
          <w:b w:val="0"/>
          <w:bCs w:val="0"/>
          <w:w w:val="100"/>
          <w:kern w:val="2"/>
          <w:sz w:val="32"/>
          <w:szCs w:val="32"/>
          <w:lang w:val="en-US" w:eastAsia="zh-CN" w:bidi="ar-SA"/>
        </w:rPr>
        <w:t>吨/年。</w:t>
      </w:r>
    </w:p>
    <w:p w14:paraId="28F367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厂区内建设一座处理规模为5立方米/天污水处理站，采用“油水分离+絮凝沉淀”工艺。车辆拆解地面冲洗废水、洗衣机拆解平衡盐水、光伏板热解废气喷淋塔排污水经厂区内污水处理站处理，出水水质满足《污水综合排放标准》（GB8978-1996）表4第二类污染物最高允许排放浓度中三级标准后，同生活污水一并通过市政排水管网排入胡杨河经济技术开发区南园区污水处理厂进一步处理。</w:t>
      </w:r>
    </w:p>
    <w:p w14:paraId="1AC094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（三）严格落实噪声污染防治措施。选用低噪声设备，对高噪声设备采取安装减振垫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用弹性连接代替设备与地面刚性连接</w:t>
      </w:r>
      <w:r>
        <w:rPr>
          <w:rFonts w:hint="default" w:ascii="Times New Roman" w:hAnsi="Times New Roman" w:eastAsia="仿宋_GB2312" w:cs="Times New Roman"/>
          <w:sz w:val="32"/>
          <w:szCs w:val="32"/>
          <w:lang w:val="en-US" w:eastAsia="zh-CN"/>
        </w:rPr>
        <w:t>等措施</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废油液采用专用回收油罐储存，分区暂存于危险废物贮存库的废油液贮存间内；废铅酸蓄电池采用专用耐酸封闭容器贮存于危险废物贮存库的废铅蓄电池贮存间，其他危险废物分区储存在综合危废贮存间，定期交由有资质的单位处置。一般固体废物中废钢铁、废有色金属、废塑料、废橡胶、废旧玻璃、废车用电子零部件、废安全气囊、废旧动力蓄电池、海绵及座椅材料、轻质物质、安全带及相关纺织品、压缩机、电线电缆、磁条、电容、聚氨酯泡沫、调频器、蒸发器、线圈、扬声器、电子枪、消磁线、液晶屏、电源、喇叭、硬盘、硅料、接线盒、焊带、炭黑定期外售；不可利用的其他一般工业固废和除尘器收集粉尘定期清运至一般固废填埋场填埋处理。</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。生活垃圾收集后交由环卫部门统一清运至生活垃圾填埋场处置。</w:t>
      </w:r>
    </w:p>
    <w:p w14:paraId="1CE731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w:t>
      </w:r>
      <w:r>
        <w:rPr>
          <w:rFonts w:hint="eastAsia" w:ascii="Times New Roman" w:hAnsi="Times New Roman" w:eastAsia="仿宋_GB2312" w:cs="Times New Roman"/>
          <w:sz w:val="32"/>
          <w:szCs w:val="32"/>
          <w:highlight w:val="none"/>
        </w:rPr>
        <w:t>生产车间</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危险废物贮存库</w:t>
      </w:r>
      <w:r>
        <w:rPr>
          <w:rFonts w:hint="eastAsia" w:eastAsia="仿宋_GB2312" w:cs="Times New Roman"/>
          <w:sz w:val="32"/>
          <w:szCs w:val="32"/>
          <w:highlight w:val="none"/>
          <w:lang w:eastAsia="zh-CN"/>
        </w:rPr>
        <w:t>、初期雨水收集池、</w:t>
      </w:r>
      <w:r>
        <w:rPr>
          <w:rFonts w:hint="eastAsia" w:eastAsia="仿宋_GB2312" w:cs="Times New Roman"/>
          <w:sz w:val="32"/>
          <w:szCs w:val="32"/>
          <w:highlight w:val="none"/>
          <w:lang w:val="en-US" w:eastAsia="zh-CN"/>
        </w:rPr>
        <w:t>应急</w:t>
      </w:r>
      <w:r>
        <w:rPr>
          <w:rFonts w:hint="eastAsia" w:eastAsia="仿宋_GB2312" w:cs="Times New Roman"/>
          <w:sz w:val="32"/>
          <w:szCs w:val="32"/>
          <w:highlight w:val="none"/>
          <w:lang w:eastAsia="zh-CN"/>
        </w:rPr>
        <w:t>事故</w:t>
      </w:r>
      <w:r>
        <w:rPr>
          <w:rFonts w:hint="eastAsia" w:eastAsia="仿宋_GB2312" w:cs="Times New Roman"/>
          <w:sz w:val="32"/>
          <w:szCs w:val="32"/>
          <w:highlight w:val="none"/>
          <w:lang w:val="en-US" w:eastAsia="zh-CN"/>
        </w:rPr>
        <w:t>水</w:t>
      </w:r>
      <w:r>
        <w:rPr>
          <w:rFonts w:hint="eastAsia" w:eastAsia="仿宋_GB2312" w:cs="Times New Roman"/>
          <w:sz w:val="32"/>
          <w:szCs w:val="32"/>
          <w:highlight w:val="none"/>
          <w:lang w:eastAsia="zh-CN"/>
        </w:rPr>
        <w:t>池、</w:t>
      </w:r>
      <w:r>
        <w:rPr>
          <w:rFonts w:hint="eastAsia" w:eastAsia="仿宋_GB2312" w:cs="Times New Roman"/>
          <w:sz w:val="32"/>
          <w:szCs w:val="32"/>
          <w:highlight w:val="none"/>
          <w:lang w:val="en-US" w:eastAsia="zh-CN"/>
        </w:rPr>
        <w:t>废油液事故收集池，铅酸电池事故收集池、</w:t>
      </w:r>
      <w:r>
        <w:rPr>
          <w:rFonts w:hint="eastAsia" w:eastAsia="仿宋_GB2312" w:cs="Times New Roman"/>
          <w:sz w:val="32"/>
          <w:szCs w:val="32"/>
          <w:highlight w:val="none"/>
          <w:lang w:eastAsia="zh-CN"/>
        </w:rPr>
        <w:t>污水处理站</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对报废机动车贮存区、废钢破碎加工车间、一般固废暂存间</w:t>
      </w:r>
      <w:r>
        <w:rPr>
          <w:rFonts w:hint="default" w:ascii="Times New Roman" w:hAnsi="Times New Roman" w:eastAsia="仿宋_GB2312" w:cs="Times New Roman"/>
          <w:bCs/>
          <w:sz w:val="32"/>
          <w:szCs w:val="32"/>
          <w:lang w:eastAsia="zh-CN"/>
        </w:rPr>
        <w:t>进行</w:t>
      </w:r>
      <w:r>
        <w:rPr>
          <w:rFonts w:hint="eastAsia" w:ascii="Times New Roman" w:hAnsi="Times New Roman"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07F42C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办理排污许可证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23</w:t>
      </w:r>
      <w:r>
        <w:rPr>
          <w:rFonts w:hint="default" w:ascii="Times New Roman" w:hAnsi="Times New Roman" w:eastAsia="仿宋_GB2312" w:cs="Times New Roman"/>
          <w:bCs/>
          <w:sz w:val="32"/>
          <w:szCs w:val="32"/>
        </w:rPr>
        <w:t>日</w:t>
      </w:r>
    </w:p>
    <w:p w14:paraId="60419CCA">
      <w:pPr>
        <w:keepNext w:val="0"/>
        <w:keepLines w:val="0"/>
        <w:pageBreakBefore w:val="0"/>
        <w:widowControl w:val="0"/>
        <w:kinsoku/>
        <w:wordWrap/>
        <w:overflowPunct/>
        <w:topLinePunct w:val="0"/>
        <w:autoSpaceDE/>
        <w:autoSpaceDN/>
        <w:bidi w:val="0"/>
        <w:adjustRightInd/>
        <w:snapToGrid/>
        <w:spacing w:line="200" w:lineRule="exact"/>
        <w:ind w:right="210" w:rightChars="100"/>
        <w:textAlignment w:val="auto"/>
        <w:rPr>
          <w:rFonts w:hint="default" w:ascii="Times New Roman" w:hAnsi="Times New Roman" w:eastAsia="仿宋_GB2312" w:cs="Times New Roman"/>
          <w:sz w:val="28"/>
          <w:szCs w:val="28"/>
        </w:rPr>
      </w:pPr>
    </w:p>
    <w:p w14:paraId="482D78A0">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3CA91622">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bookmarkStart w:id="1" w:name="_GoBack"/>
      <w:bookmarkEnd w:id="1"/>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95B26AD"/>
    <w:rsid w:val="0A0D21E1"/>
    <w:rsid w:val="0A6D7B38"/>
    <w:rsid w:val="0A717628"/>
    <w:rsid w:val="0BD55735"/>
    <w:rsid w:val="0CD67C16"/>
    <w:rsid w:val="0DC63782"/>
    <w:rsid w:val="0DEC6201"/>
    <w:rsid w:val="0E927B6D"/>
    <w:rsid w:val="0F3A0A84"/>
    <w:rsid w:val="0F8E2A2A"/>
    <w:rsid w:val="0F9811B3"/>
    <w:rsid w:val="10415B91"/>
    <w:rsid w:val="12A333DD"/>
    <w:rsid w:val="13222B5F"/>
    <w:rsid w:val="1367781A"/>
    <w:rsid w:val="13B33653"/>
    <w:rsid w:val="15E46F00"/>
    <w:rsid w:val="19A61553"/>
    <w:rsid w:val="1ABC044C"/>
    <w:rsid w:val="1BBB432A"/>
    <w:rsid w:val="1C444C69"/>
    <w:rsid w:val="1CB3762C"/>
    <w:rsid w:val="1D4B3D09"/>
    <w:rsid w:val="1E1F706C"/>
    <w:rsid w:val="1E222CBC"/>
    <w:rsid w:val="1EF26258"/>
    <w:rsid w:val="1F0C482E"/>
    <w:rsid w:val="1F6410B2"/>
    <w:rsid w:val="1F792DAF"/>
    <w:rsid w:val="20735A50"/>
    <w:rsid w:val="2177331E"/>
    <w:rsid w:val="21A1039B"/>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2EC6C57"/>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C720E5A"/>
    <w:rsid w:val="3D0F2205"/>
    <w:rsid w:val="3E3F2FBE"/>
    <w:rsid w:val="3E5263F1"/>
    <w:rsid w:val="3E8F41EC"/>
    <w:rsid w:val="3ED656D0"/>
    <w:rsid w:val="406B063D"/>
    <w:rsid w:val="41931657"/>
    <w:rsid w:val="41E12475"/>
    <w:rsid w:val="41F36599"/>
    <w:rsid w:val="425C5EED"/>
    <w:rsid w:val="4475215D"/>
    <w:rsid w:val="44AC37CB"/>
    <w:rsid w:val="465316EE"/>
    <w:rsid w:val="46C2653A"/>
    <w:rsid w:val="46CD5F17"/>
    <w:rsid w:val="46F76C15"/>
    <w:rsid w:val="470E5183"/>
    <w:rsid w:val="47623535"/>
    <w:rsid w:val="485E6E26"/>
    <w:rsid w:val="4B4732F2"/>
    <w:rsid w:val="4B9E0BAE"/>
    <w:rsid w:val="4BE111CF"/>
    <w:rsid w:val="4D3248D1"/>
    <w:rsid w:val="4DF46F02"/>
    <w:rsid w:val="4E1C7BCA"/>
    <w:rsid w:val="4E23273D"/>
    <w:rsid w:val="4E2A19FE"/>
    <w:rsid w:val="4E8B592A"/>
    <w:rsid w:val="5144471C"/>
    <w:rsid w:val="51CA44D0"/>
    <w:rsid w:val="52016A0C"/>
    <w:rsid w:val="521E31BF"/>
    <w:rsid w:val="53732803"/>
    <w:rsid w:val="5445681C"/>
    <w:rsid w:val="54E21B59"/>
    <w:rsid w:val="55242388"/>
    <w:rsid w:val="55DB3175"/>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109328C"/>
    <w:rsid w:val="612B239E"/>
    <w:rsid w:val="623C143F"/>
    <w:rsid w:val="62A019CE"/>
    <w:rsid w:val="62E3579C"/>
    <w:rsid w:val="644952F5"/>
    <w:rsid w:val="6703077D"/>
    <w:rsid w:val="679C6136"/>
    <w:rsid w:val="68152516"/>
    <w:rsid w:val="698B1E19"/>
    <w:rsid w:val="6CC3509F"/>
    <w:rsid w:val="6F2512C7"/>
    <w:rsid w:val="6F4158DC"/>
    <w:rsid w:val="708446DD"/>
    <w:rsid w:val="7375588F"/>
    <w:rsid w:val="73E5637C"/>
    <w:rsid w:val="75006CB2"/>
    <w:rsid w:val="7516167C"/>
    <w:rsid w:val="75F30136"/>
    <w:rsid w:val="76017E90"/>
    <w:rsid w:val="77735805"/>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pPr>
      <w:widowControl/>
      <w:jc w:val="left"/>
    </w:pPr>
    <w:rPr>
      <w:rFonts w:ascii="Arial" w:hAnsi="Arial" w:cs="Arial"/>
      <w:b/>
      <w:bCs/>
      <w:kern w:val="0"/>
      <w:sz w:val="24"/>
    </w:rPr>
  </w:style>
  <w:style w:type="paragraph" w:styleId="3">
    <w:name w:val="index 1"/>
    <w:basedOn w:val="1"/>
    <w:next w:val="1"/>
    <w:qFormat/>
    <w:uiPriority w:val="0"/>
    <w:pPr>
      <w:spacing w:line="360" w:lineRule="auto"/>
      <w:jc w:val="center"/>
    </w:pPr>
  </w:style>
  <w:style w:type="paragraph" w:styleId="4">
    <w:name w:val="index 5"/>
    <w:basedOn w:val="1"/>
    <w:next w:val="1"/>
    <w:qFormat/>
    <w:uiPriority w:val="0"/>
    <w:pPr>
      <w:ind w:left="800" w:leftChars="800"/>
    </w:pPr>
  </w:style>
  <w:style w:type="paragraph" w:styleId="5">
    <w:name w:val="Body Text"/>
    <w:basedOn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3281</Words>
  <Characters>3514</Characters>
  <Lines>0</Lines>
  <Paragraphs>0</Paragraphs>
  <TotalTime>245</TotalTime>
  <ScaleCrop>false</ScaleCrop>
  <LinksUpToDate>false</LinksUpToDate>
  <CharactersWithSpaces>3563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2026-01-23T01:58:43Z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DED4AB2EC3E442ACA7E81D2A838C1B79_13</vt:lpwstr>
  </property>
  <property fmtid="{D5CDD505-2E9C-101B-9397-08002B2CF9AE}" pid="4" name="KSOTemplateDocerSaveRecord">
    <vt:lpwstr>eyJoZGlkIjoiOTM4ZGE5MjAwOTRjNzE3YmI3NzllODlkMzQzMmYzMzgiLCJ1c2VySWQiOiI1NTE5NjI2NTYifQ==</vt:lpwstr>
  </property>
</Properties>
</file>