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394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0852BAE">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highlight w:val="none"/>
        </w:rPr>
        <w:t xml:space="preserve">  </w:t>
      </w:r>
      <w:r>
        <w:rPr>
          <w:rFonts w:hint="default" w:ascii="Times New Roman" w:hAnsi="Times New Roman" w:eastAsia="仿宋_GB2312" w:cs="Times New Roman"/>
          <w:snapToGrid w:val="0"/>
          <w:color w:val="auto"/>
          <w:kern w:val="0"/>
          <w:szCs w:val="32"/>
          <w:highlight w:val="none"/>
          <w:lang w:val="en-US" w:eastAsia="zh-CN"/>
        </w:rPr>
        <w:t xml:space="preserve">  </w:t>
      </w:r>
      <w:r>
        <w:rPr>
          <w:rFonts w:hint="default" w:ascii="Times New Roman" w:hAnsi="Times New Roman" w:eastAsia="仿宋_GB2312" w:cs="Times New Roman"/>
          <w:snapToGrid w:val="0"/>
          <w:color w:val="auto"/>
          <w:kern w:val="0"/>
          <w:szCs w:val="32"/>
          <w:highlight w:val="none"/>
        </w:rPr>
        <w:t>师市环审〔202</w:t>
      </w:r>
      <w:r>
        <w:rPr>
          <w:rFonts w:hint="default" w:ascii="Times New Roman" w:hAnsi="Times New Roman" w:eastAsia="仿宋_GB2312" w:cs="Times New Roman"/>
          <w:snapToGrid w:val="0"/>
          <w:color w:val="auto"/>
          <w:kern w:val="0"/>
          <w:szCs w:val="32"/>
          <w:highlight w:val="none"/>
          <w:lang w:val="en-US" w:eastAsia="zh-CN"/>
        </w:rPr>
        <w:t>6</w:t>
      </w:r>
      <w:r>
        <w:rPr>
          <w:rFonts w:hint="default" w:ascii="Times New Roman" w:hAnsi="Times New Roman" w:eastAsia="仿宋_GB2312" w:cs="Times New Roman"/>
          <w:snapToGrid w:val="0"/>
          <w:color w:val="auto"/>
          <w:kern w:val="0"/>
          <w:szCs w:val="32"/>
          <w:highlight w:val="none"/>
        </w:rPr>
        <w:t>〕</w:t>
      </w:r>
      <w:r>
        <w:rPr>
          <w:rFonts w:hint="eastAsia" w:eastAsia="仿宋_GB2312" w:cs="Times New Roman"/>
          <w:snapToGrid w:val="0"/>
          <w:color w:val="auto"/>
          <w:kern w:val="0"/>
          <w:szCs w:val="32"/>
          <w:highlight w:val="none"/>
          <w:lang w:val="en-US" w:eastAsia="zh-CN"/>
        </w:rPr>
        <w:t>9</w:t>
      </w:r>
      <w:r>
        <w:rPr>
          <w:rFonts w:hint="default" w:ascii="Times New Roman" w:hAnsi="Times New Roman" w:eastAsia="仿宋_GB2312" w:cs="Times New Roman"/>
          <w:snapToGrid w:val="0"/>
          <w:color w:val="auto"/>
          <w:kern w:val="0"/>
          <w:szCs w:val="32"/>
          <w:highlight w:val="none"/>
        </w:rPr>
        <w:t>号</w:t>
      </w:r>
    </w:p>
    <w:p w14:paraId="7E66B2A4">
      <w:pPr>
        <w:spacing w:line="600" w:lineRule="exact"/>
        <w:rPr>
          <w:rFonts w:hint="default" w:ascii="Times New Roman" w:hAnsi="Times New Roman" w:eastAsia="仿宋_GB2312" w:cs="Times New Roman"/>
          <w:snapToGrid w:val="0"/>
          <w:color w:val="auto"/>
          <w:kern w:val="0"/>
          <w:sz w:val="30"/>
          <w:highlight w:val="none"/>
        </w:rPr>
      </w:pPr>
    </w:p>
    <w:p w14:paraId="03C707D5">
      <w:pPr>
        <w:spacing w:line="600" w:lineRule="exact"/>
        <w:jc w:val="center"/>
        <w:rPr>
          <w:rFonts w:hint="eastAsia" w:eastAsia="方正小标宋简体" w:cs="Times New Roman"/>
          <w:bCs/>
          <w:color w:val="auto"/>
          <w:kern w:val="2"/>
          <w:sz w:val="44"/>
          <w:szCs w:val="44"/>
          <w:lang w:val="zh-CN" w:bidi="ar"/>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eastAsia" w:eastAsia="方正小标宋简体" w:cs="Times New Roman"/>
          <w:bCs/>
          <w:color w:val="auto"/>
          <w:kern w:val="2"/>
          <w:sz w:val="44"/>
          <w:szCs w:val="44"/>
          <w:lang w:val="zh-CN" w:bidi="ar"/>
        </w:rPr>
        <w:t>春风油田</w:t>
      </w:r>
      <w:r>
        <w:rPr>
          <w:rFonts w:hint="eastAsia" w:ascii="方正小标宋简体" w:hAnsi="方正小标宋简体" w:eastAsia="方正小标宋简体" w:cs="方正小标宋简体"/>
          <w:bCs/>
          <w:color w:val="auto"/>
          <w:kern w:val="2"/>
          <w:sz w:val="44"/>
          <w:szCs w:val="44"/>
          <w:lang w:val="zh-CN" w:bidi="ar"/>
        </w:rPr>
        <w:t>2026</w:t>
      </w:r>
      <w:r>
        <w:rPr>
          <w:rFonts w:hint="eastAsia" w:eastAsia="方正小标宋简体" w:cs="Times New Roman"/>
          <w:bCs/>
          <w:color w:val="auto"/>
          <w:kern w:val="2"/>
          <w:sz w:val="44"/>
          <w:szCs w:val="44"/>
          <w:lang w:val="zh-CN" w:bidi="ar"/>
        </w:rPr>
        <w:t>年（胡杨河市辖区）滚动</w:t>
      </w:r>
    </w:p>
    <w:p w14:paraId="6A46747D">
      <w:pPr>
        <w:spacing w:line="600" w:lineRule="exact"/>
        <w:jc w:val="center"/>
        <w:rPr>
          <w:rFonts w:hint="default" w:ascii="Times New Roman" w:hAnsi="Times New Roman" w:eastAsia="仿宋_GB2312" w:cs="Times New Roman"/>
          <w:color w:val="auto"/>
          <w:kern w:val="0"/>
          <w:szCs w:val="32"/>
          <w:highlight w:val="none"/>
        </w:rPr>
      </w:pPr>
      <w:r>
        <w:rPr>
          <w:rFonts w:hint="eastAsia" w:eastAsia="方正小标宋简体" w:cs="Times New Roman"/>
          <w:bCs/>
          <w:color w:val="auto"/>
          <w:kern w:val="2"/>
          <w:sz w:val="44"/>
          <w:szCs w:val="44"/>
          <w:lang w:val="zh-CN" w:bidi="ar"/>
        </w:rPr>
        <w:t>开发建设工程</w:t>
      </w:r>
      <w:r>
        <w:rPr>
          <w:rFonts w:hint="eastAsia" w:ascii="Times New Roman" w:hAnsi="Times New Roman" w:eastAsia="方正小标宋简体"/>
          <w:bCs/>
          <w:color w:val="000000"/>
          <w:sz w:val="44"/>
          <w:szCs w:val="44"/>
        </w:rPr>
        <w:t>环境影响报告书</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019C5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A9256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rPr>
        <w:t>中石化新疆新春石油开发有限责任公司：</w:t>
      </w:r>
    </w:p>
    <w:p w14:paraId="15084E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w:t>
      </w:r>
      <w:r>
        <w:rPr>
          <w:rFonts w:hint="eastAsia" w:eastAsia="仿宋_GB2312" w:cs="Times New Roman"/>
          <w:bCs/>
          <w:color w:val="auto"/>
          <w:szCs w:val="32"/>
          <w:highlight w:val="none"/>
          <w:lang w:val="en-US" w:eastAsia="zh-CN"/>
        </w:rPr>
        <w:t>公司</w:t>
      </w:r>
      <w:r>
        <w:rPr>
          <w:rFonts w:hint="default" w:ascii="Times New Roman" w:hAnsi="Times New Roman" w:eastAsia="仿宋_GB2312" w:cs="Times New Roman"/>
          <w:bCs/>
          <w:color w:val="auto"/>
          <w:szCs w:val="32"/>
          <w:highlight w:val="none"/>
        </w:rPr>
        <w:t>《关于</w:t>
      </w:r>
      <w:r>
        <w:rPr>
          <w:rFonts w:hint="default" w:ascii="Times New Roman" w:hAnsi="Times New Roman" w:eastAsia="仿宋_GB2312" w:cs="Times New Roman"/>
          <w:bCs/>
          <w:color w:val="auto"/>
          <w:szCs w:val="32"/>
          <w:highlight w:val="none"/>
          <w:lang w:val="zh-CN"/>
        </w:rPr>
        <w:t>春风油田2026年（胡杨河市辖区）滚动开发建设工程</w:t>
      </w:r>
      <w:r>
        <w:rPr>
          <w:rFonts w:hint="default" w:ascii="Times New Roman" w:hAnsi="Times New Roman" w:eastAsia="仿宋_GB2312" w:cs="Times New Roman"/>
          <w:bCs/>
          <w:color w:val="auto"/>
          <w:szCs w:val="32"/>
          <w:highlight w:val="none"/>
        </w:rPr>
        <w:t>环境影响报告书的请示》收悉。经研究，批复如下：</w:t>
      </w:r>
    </w:p>
    <w:p w14:paraId="61B75DF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该项目位于第七师128团，项目中心地理位置坐标为</w:t>
      </w:r>
      <w:r>
        <w:rPr>
          <w:rFonts w:hint="default" w:ascii="Times New Roman" w:hAnsi="Times New Roman" w:eastAsia="仿宋_GB2312" w:cs="Times New Roman"/>
          <w:color w:val="auto"/>
          <w:szCs w:val="32"/>
          <w:highlight w:val="none"/>
          <w:lang w:val="zh-CN"/>
        </w:rPr>
        <w:t>东经</w:t>
      </w:r>
      <w:bookmarkStart w:id="0" w:name="_Hlk221113931"/>
      <w:r>
        <w:rPr>
          <w:rFonts w:hint="default" w:ascii="Times New Roman" w:hAnsi="Times New Roman" w:eastAsia="仿宋_GB2312" w:cs="Times New Roman"/>
          <w:color w:val="auto"/>
          <w:szCs w:val="32"/>
          <w:highlight w:val="none"/>
          <w:lang w:val="zh-CN"/>
        </w:rPr>
        <w:t>84</w:t>
      </w:r>
      <w:r>
        <w:rPr>
          <w:rFonts w:hint="default" w:ascii="Times New Roman" w:hAnsi="Times New Roman" w:eastAsia="仿宋_GB2312" w:cs="Times New Roman"/>
          <w:color w:val="auto"/>
          <w:szCs w:val="32"/>
          <w:highlight w:val="none"/>
        </w:rPr>
        <w:t>°38</w:t>
      </w:r>
      <w:r>
        <w:rPr>
          <w:rFonts w:hint="default" w:ascii="Times New Roman" w:hAnsi="Times New Roman" w:eastAsia="仿宋_GB2312" w:cs="Times New Roman"/>
          <w:color w:val="auto"/>
          <w:szCs w:val="32"/>
          <w:highlight w:val="none"/>
          <w:lang w:val="zh-CN"/>
        </w:rPr>
        <w:t>'</w:t>
      </w:r>
      <w:r>
        <w:rPr>
          <w:rFonts w:hint="default" w:ascii="Times New Roman" w:hAnsi="Times New Roman" w:eastAsia="仿宋_GB2312" w:cs="Times New Roman"/>
          <w:color w:val="auto"/>
          <w:szCs w:val="32"/>
          <w:highlight w:val="none"/>
        </w:rPr>
        <w:t>53.34</w:t>
      </w:r>
      <w:r>
        <w:rPr>
          <w:rFonts w:hint="default" w:ascii="Times New Roman" w:hAnsi="Times New Roman" w:eastAsia="仿宋_GB2312" w:cs="Times New Roman"/>
          <w:color w:val="auto"/>
          <w:szCs w:val="32"/>
          <w:highlight w:val="none"/>
          <w:lang w:val="zh-CN"/>
        </w:rPr>
        <w:t>″</w:t>
      </w:r>
      <w:bookmarkEnd w:id="0"/>
      <w:r>
        <w:rPr>
          <w:rFonts w:hint="default" w:ascii="Times New Roman" w:hAnsi="Times New Roman" w:eastAsia="仿宋_GB2312" w:cs="Times New Roman"/>
          <w:color w:val="auto"/>
          <w:szCs w:val="32"/>
          <w:highlight w:val="none"/>
          <w:lang w:val="zh-CN"/>
        </w:rPr>
        <w:t>，北纬</w:t>
      </w:r>
      <w:bookmarkStart w:id="1" w:name="_Hlk221113939"/>
      <w:r>
        <w:rPr>
          <w:rFonts w:hint="default" w:ascii="Times New Roman" w:hAnsi="Times New Roman" w:eastAsia="仿宋_GB2312" w:cs="Times New Roman"/>
          <w:color w:val="auto"/>
          <w:szCs w:val="32"/>
          <w:highlight w:val="none"/>
          <w:lang w:val="zh-CN"/>
        </w:rPr>
        <w:t>45</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zh-CN"/>
        </w:rPr>
        <w:t>4'</w:t>
      </w:r>
      <w:r>
        <w:rPr>
          <w:rFonts w:hint="default" w:ascii="Times New Roman" w:hAnsi="Times New Roman" w:eastAsia="仿宋_GB2312" w:cs="Times New Roman"/>
          <w:color w:val="auto"/>
          <w:szCs w:val="32"/>
          <w:highlight w:val="none"/>
        </w:rPr>
        <w:t>59.85</w:t>
      </w:r>
      <w:r>
        <w:rPr>
          <w:rFonts w:hint="default" w:ascii="Times New Roman" w:hAnsi="Times New Roman" w:eastAsia="仿宋_GB2312" w:cs="Times New Roman"/>
          <w:color w:val="auto"/>
          <w:szCs w:val="32"/>
          <w:highlight w:val="none"/>
          <w:lang w:val="zh-CN"/>
        </w:rPr>
        <w:t>″</w:t>
      </w:r>
      <w:bookmarkEnd w:id="1"/>
      <w:r>
        <w:rPr>
          <w:rFonts w:hint="default" w:ascii="Times New Roman" w:hAnsi="Times New Roman" w:eastAsia="仿宋_GB2312" w:cs="Times New Roman"/>
          <w:color w:val="auto"/>
          <w:szCs w:val="32"/>
          <w:highlight w:val="none"/>
        </w:rPr>
        <w:t>。项目为改扩建项目</w:t>
      </w:r>
      <w:r>
        <w:rPr>
          <w:rFonts w:hint="eastAsia" w:eastAsia="仿宋_GB2312" w:cs="Times New Roman"/>
          <w:color w:val="auto"/>
          <w:szCs w:val="32"/>
          <w:highlight w:val="none"/>
          <w:lang w:eastAsia="zh-CN"/>
        </w:rPr>
        <w:t>，共部署油井79口，其中新钻油井77口，利用老井2口，钻井总进尺7.66万米；新建Φ219×8集油管线11.6km、Φ168×7集油管线7.3km、Φ114×7集油管线10.59km、Φ89×6集油管线5.94km；新建排614增压点，设置增压泵房一座，泵房内建设油气混输双螺杆泵2座；排761-平10井场设置双螺杆泵1座；井场外新建D89×8注汽管线9.879km、D114×10注汽管线3.214km，井场内新建注汽管线4.013km；新建供水管线1.5km，管径DN100；新建注水管线总长度3.5km，管径DN150；布设井场51座，其中新建井场25座，改扩建井场26座；另外配套建设供配电、通信、自控等工程。</w:t>
      </w:r>
      <w:r>
        <w:rPr>
          <w:rFonts w:hint="eastAsia" w:eastAsia="仿宋_GB2312" w:cs="Times New Roman"/>
          <w:color w:val="auto"/>
          <w:szCs w:val="32"/>
          <w:highlight w:val="none"/>
          <w:lang w:val="en-US" w:eastAsia="zh-CN"/>
        </w:rPr>
        <w:t>项目建成后</w:t>
      </w:r>
      <w:r>
        <w:rPr>
          <w:rFonts w:hint="eastAsia" w:eastAsia="仿宋_GB2312" w:cs="Times New Roman"/>
          <w:color w:val="auto"/>
          <w:szCs w:val="32"/>
          <w:highlight w:val="none"/>
          <w:lang w:eastAsia="zh-CN"/>
        </w:rPr>
        <w:t>新建产能为12.27×10</w:t>
      </w:r>
      <w:r>
        <w:rPr>
          <w:rFonts w:hint="eastAsia" w:eastAsia="仿宋_GB2312" w:cs="Times New Roman"/>
          <w:color w:val="auto"/>
          <w:szCs w:val="32"/>
          <w:highlight w:val="none"/>
          <w:vertAlign w:val="superscript"/>
          <w:lang w:eastAsia="zh-CN"/>
        </w:rPr>
        <w:t>4</w:t>
      </w:r>
      <w:r>
        <w:rPr>
          <w:rFonts w:hint="eastAsia" w:eastAsia="仿宋_GB2312" w:cs="Times New Roman"/>
          <w:color w:val="auto"/>
          <w:szCs w:val="32"/>
          <w:highlight w:val="none"/>
          <w:lang w:eastAsia="zh-CN"/>
        </w:rPr>
        <w:t>t/a，开发10年累计产油90.92×10</w:t>
      </w:r>
      <w:r>
        <w:rPr>
          <w:rFonts w:hint="eastAsia" w:eastAsia="仿宋_GB2312" w:cs="Times New Roman"/>
          <w:color w:val="auto"/>
          <w:szCs w:val="32"/>
          <w:highlight w:val="none"/>
          <w:vertAlign w:val="superscript"/>
          <w:lang w:eastAsia="zh-CN"/>
        </w:rPr>
        <w:t>4</w:t>
      </w:r>
      <w:r>
        <w:rPr>
          <w:rFonts w:hint="eastAsia" w:eastAsia="仿宋_GB2312" w:cs="Times New Roman"/>
          <w:color w:val="auto"/>
          <w:szCs w:val="32"/>
          <w:highlight w:val="none"/>
          <w:lang w:eastAsia="zh-CN"/>
        </w:rPr>
        <w:t>t。项目总投资43621.9万元，其中环保投资约2062万元，占总投资的4.73%。</w:t>
      </w:r>
    </w:p>
    <w:p w14:paraId="0E9A18AB">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138113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2791147C">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 w:val="0"/>
          <w:bCs/>
          <w:sz w:val="32"/>
          <w:szCs w:val="32"/>
        </w:rPr>
        <w:t>严格落实生态保护措施。定期巡查井场、管线等，严防跑、冒、滴、漏，避免泄漏油品污染周围生态环境；井场永久占地采取砾石覆盖，减少风蚀量；地表要及时进行植被恢复工作，防止水土流失；管道维修二次开挖回填时，尽量按原有土壤层次进行回填；加强环境保护宣传工作，增强环保意识。</w:t>
      </w:r>
    </w:p>
    <w:p w14:paraId="6CBF753F">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二</w:t>
      </w:r>
      <w:r>
        <w:rPr>
          <w:rFonts w:hint="default" w:ascii="Times New Roman" w:hAnsi="Times New Roman" w:eastAsia="仿宋_GB2312" w:cs="Times New Roman"/>
          <w:bCs/>
          <w:color w:val="auto"/>
          <w:szCs w:val="32"/>
          <w:highlight w:val="none"/>
        </w:rPr>
        <w:t>）严格落实大气污染防治措施。项目集输流程采用管道密闭集输，选用质量可靠的设备；定期对井场的设备、阀门、管线等检查、检修，防止跑、冒、漏现象的发生；做好油井的压力监测及应急准备；加强对密闭管线及密封点的巡检。井场厂界非甲烷总烃排放浓度</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rPr>
        <w:t>《陆上石油天然气开采工业大气污染物排放标准》（GB39728-2020）中企业边界污染物控制要求，</w:t>
      </w:r>
      <w:r>
        <w:rPr>
          <w:rFonts w:hint="default" w:ascii="Times New Roman" w:hAnsi="Times New Roman" w:eastAsia="仿宋_GB2312" w:cs="Times New Roman"/>
          <w:bCs/>
          <w:color w:val="auto"/>
          <w:szCs w:val="32"/>
          <w:highlight w:val="none"/>
          <w:lang w:val="en-US" w:eastAsia="zh-CN"/>
        </w:rPr>
        <w:t>厂界</w:t>
      </w:r>
      <w:r>
        <w:rPr>
          <w:rFonts w:hint="default" w:ascii="Times New Roman" w:hAnsi="Times New Roman" w:eastAsia="仿宋_GB2312" w:cs="Times New Roman"/>
          <w:bCs/>
          <w:color w:val="auto"/>
          <w:szCs w:val="32"/>
          <w:highlight w:val="none"/>
        </w:rPr>
        <w:t>硫化氢排放浓度</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rPr>
        <w:t>《恶臭污染物排放标准》（GB14554-93）表1恶臭污染物厂界标准值二级新扩改建要求。</w:t>
      </w:r>
    </w:p>
    <w:p w14:paraId="1314C231">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kern w:val="2"/>
          <w:sz w:val="32"/>
          <w:szCs w:val="32"/>
          <w:lang w:val="en-US" w:eastAsia="zh-CN" w:bidi="ar-SA"/>
        </w:rPr>
        <w:t>三</w:t>
      </w: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落实水污染防治措施。采出水、井下作业废水、酸化废水通过管输和罐车拉运至春风联合站处理，出水水质满足《碎屑岩油藏注水水质指标技术要求及分析方法》（SY/T5329-2022）中注水水质指标要求后回注油藏。</w:t>
      </w:r>
    </w:p>
    <w:p w14:paraId="5A968F02">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szCs w:val="32"/>
          <w:highlight w:val="none"/>
          <w:lang w:val="en-US" w:eastAsia="zh-CN"/>
        </w:rPr>
        <w:t>（</w:t>
      </w:r>
      <w:r>
        <w:rPr>
          <w:rFonts w:hint="eastAsia" w:eastAsia="仿宋_GB2312" w:cs="Times New Roman"/>
          <w:bCs/>
          <w:color w:val="auto"/>
          <w:szCs w:val="32"/>
          <w:highlight w:val="none"/>
          <w:lang w:val="en-US" w:eastAsia="zh-CN"/>
        </w:rPr>
        <w:t>四</w:t>
      </w:r>
      <w:r>
        <w:rPr>
          <w:rFonts w:hint="eastAsia" w:ascii="Times New Roman" w:hAnsi="Times New Roman"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lang w:val="en-US" w:eastAsia="zh-CN"/>
        </w:rPr>
        <w:t>严格落实噪声防治措施。优化井场布置，选用低噪声设备；加强设备的维修、管理，设备采取减振措施；靠近居民区作业时，周边设置临时移动隔声屏障</w:t>
      </w:r>
      <w:r>
        <w:rPr>
          <w:rFonts w:hint="eastAsia"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lang w:val="en-US" w:eastAsia="zh-CN"/>
        </w:rPr>
        <w:t>项目运营期厂界昼间、夜间噪声值</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lang w:val="en-US" w:eastAsia="zh-CN"/>
        </w:rPr>
        <w:t>《工业企业厂界环境噪声排放标准》（GB12348-2008）中2类标准要求</w:t>
      </w:r>
      <w:r>
        <w:rPr>
          <w:rFonts w:hint="eastAsia" w:eastAsia="仿宋_GB2312" w:cs="Times New Roman"/>
          <w:bCs/>
          <w:color w:val="auto"/>
          <w:szCs w:val="32"/>
          <w:highlight w:val="none"/>
          <w:lang w:val="en-US" w:eastAsia="zh-CN"/>
        </w:rPr>
        <w:t>。</w:t>
      </w:r>
    </w:p>
    <w:p w14:paraId="280E3420">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kern w:val="2"/>
          <w:sz w:val="32"/>
          <w:szCs w:val="32"/>
          <w:lang w:val="en-US" w:eastAsia="zh-CN" w:bidi="ar-SA"/>
        </w:rPr>
        <w:t>五</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zCs w:val="32"/>
          <w:highlight w:val="none"/>
        </w:rPr>
        <w:t>固体废物实施分类管理和妥善处理处置。落地油、废防渗布、清管废渣、废润滑油、联合站新增清罐底泥、联合站新增含油污泥</w:t>
      </w:r>
      <w:r>
        <w:rPr>
          <w:rFonts w:hint="eastAsia" w:ascii="Times New Roman" w:hAnsi="Times New Roman" w:eastAsia="仿宋_GB2312"/>
          <w:color w:val="000000"/>
          <w:lang w:val="en-US" w:eastAsia="zh-CN"/>
        </w:rPr>
        <w:t>属于</w:t>
      </w:r>
      <w:r>
        <w:rPr>
          <w:rFonts w:hint="eastAsia" w:eastAsia="仿宋_GB2312" w:cs="Times New Roman"/>
          <w:bCs/>
          <w:color w:val="auto"/>
          <w:szCs w:val="32"/>
          <w:highlight w:val="none"/>
          <w:lang w:val="en-US" w:eastAsia="zh-CN"/>
        </w:rPr>
        <w:t>危险废物，其中</w:t>
      </w:r>
      <w:r>
        <w:rPr>
          <w:rFonts w:hint="default" w:ascii="Times New Roman" w:hAnsi="Times New Roman" w:eastAsia="仿宋_GB2312" w:cs="Times New Roman"/>
          <w:bCs/>
          <w:color w:val="auto"/>
          <w:szCs w:val="32"/>
          <w:highlight w:val="none"/>
        </w:rPr>
        <w:t>落地油、废防渗布、清管废渣、联合站新增清罐底泥、联合站新增含油污泥</w:t>
      </w:r>
      <w:r>
        <w:rPr>
          <w:rFonts w:hint="eastAsia" w:ascii="Times New Roman" w:hAnsi="Times New Roman" w:eastAsia="仿宋_GB2312"/>
          <w:highlight w:val="none"/>
          <w:lang w:val="en-US" w:eastAsia="zh-CN"/>
        </w:rPr>
        <w:t>分类</w:t>
      </w:r>
      <w:r>
        <w:rPr>
          <w:rFonts w:hint="eastAsia" w:eastAsia="仿宋_GB2312"/>
          <w:highlight w:val="none"/>
          <w:lang w:val="en-US" w:eastAsia="zh-CN"/>
        </w:rPr>
        <w:t>收集后</w:t>
      </w:r>
      <w:r>
        <w:rPr>
          <w:rFonts w:ascii="Times New Roman" w:hAnsi="Times New Roman" w:eastAsia="仿宋_GB2312"/>
          <w:highlight w:val="none"/>
        </w:rPr>
        <w:t>交由有资质</w:t>
      </w:r>
      <w:r>
        <w:rPr>
          <w:rFonts w:hint="eastAsia" w:eastAsia="仿宋_GB2312"/>
          <w:highlight w:val="none"/>
          <w:lang w:val="en-US" w:eastAsia="zh-CN"/>
        </w:rPr>
        <w:t>的</w:t>
      </w:r>
      <w:r>
        <w:rPr>
          <w:rFonts w:ascii="Times New Roman" w:hAnsi="Times New Roman" w:eastAsia="仿宋_GB2312"/>
          <w:highlight w:val="none"/>
        </w:rPr>
        <w:t>单位处置</w:t>
      </w:r>
      <w:r>
        <w:rPr>
          <w:rFonts w:hint="eastAsia" w:eastAsia="仿宋_GB2312"/>
          <w:highlight w:val="none"/>
          <w:lang w:eastAsia="zh-CN"/>
        </w:rPr>
        <w:t>；废润滑油收集后依托春风联合站原油处理系统处置。</w:t>
      </w:r>
      <w:r>
        <w:rPr>
          <w:rFonts w:hint="eastAsia" w:ascii="Times New Roman" w:hAnsi="Times New Roman" w:eastAsia="仿宋_GB2312"/>
          <w:highlight w:val="none"/>
          <w:lang w:val="en-US" w:eastAsia="zh-CN"/>
        </w:rPr>
        <w:t>一般固体废物中废弃泥浆和岩屑</w:t>
      </w:r>
      <w:r>
        <w:rPr>
          <w:rFonts w:hint="eastAsia" w:eastAsia="仿宋_GB2312"/>
          <w:highlight w:val="none"/>
          <w:lang w:val="en-US" w:eastAsia="zh-CN"/>
        </w:rPr>
        <w:t>通过</w:t>
      </w:r>
      <w:r>
        <w:rPr>
          <w:rFonts w:hint="eastAsia" w:ascii="Times New Roman" w:hAnsi="Times New Roman" w:eastAsia="仿宋_GB2312"/>
          <w:highlight w:val="none"/>
          <w:lang w:val="en-US" w:eastAsia="zh-CN"/>
        </w:rPr>
        <w:t>“钻井废弃物不落地工艺”</w:t>
      </w:r>
      <w:r>
        <w:rPr>
          <w:rFonts w:hint="eastAsia" w:eastAsia="仿宋_GB2312"/>
          <w:highlight w:val="none"/>
          <w:lang w:val="en-US" w:eastAsia="zh-CN"/>
        </w:rPr>
        <w:t>收集后</w:t>
      </w:r>
      <w:r>
        <w:rPr>
          <w:rFonts w:hint="eastAsia" w:ascii="Times New Roman" w:hAnsi="Times New Roman" w:eastAsia="仿宋_GB2312"/>
          <w:highlight w:val="none"/>
          <w:lang w:val="en-US" w:eastAsia="zh-CN"/>
        </w:rPr>
        <w:t>委托</w:t>
      </w:r>
      <w:r>
        <w:rPr>
          <w:rFonts w:hint="eastAsia" w:eastAsia="仿宋_GB2312"/>
          <w:highlight w:val="none"/>
          <w:lang w:val="en-US" w:eastAsia="zh-CN"/>
        </w:rPr>
        <w:t>有</w:t>
      </w:r>
      <w:r>
        <w:rPr>
          <w:rFonts w:ascii="Times New Roman" w:hAnsi="Times New Roman" w:eastAsia="仿宋_GB2312"/>
          <w:highlight w:val="none"/>
        </w:rPr>
        <w:t>资质</w:t>
      </w:r>
      <w:r>
        <w:rPr>
          <w:rFonts w:hint="eastAsia" w:eastAsia="仿宋_GB2312"/>
          <w:highlight w:val="none"/>
          <w:lang w:val="en-US" w:eastAsia="zh-CN"/>
        </w:rPr>
        <w:t>的</w:t>
      </w:r>
      <w:r>
        <w:rPr>
          <w:rFonts w:ascii="Times New Roman" w:hAnsi="Times New Roman" w:eastAsia="仿宋_GB2312"/>
          <w:highlight w:val="none"/>
        </w:rPr>
        <w:t>单位</w:t>
      </w:r>
      <w:r>
        <w:rPr>
          <w:rFonts w:hint="eastAsia" w:ascii="Times New Roman" w:hAnsi="Times New Roman" w:eastAsia="仿宋_GB2312"/>
          <w:highlight w:val="none"/>
          <w:lang w:val="en-US" w:eastAsia="zh-CN"/>
        </w:rPr>
        <w:t>进行处置，满足《油气田钻井固体废弃物综合利用污染物控制要求》（DB65/T3997-2017）相关要求后用于铺设道路等。</w:t>
      </w:r>
      <w:r>
        <w:rPr>
          <w:rFonts w:hint="default" w:ascii="Times New Roman" w:hAnsi="Times New Roman" w:eastAsia="仿宋_GB2312" w:cs="Times New Roman"/>
          <w:bCs/>
          <w:color w:val="auto"/>
          <w:szCs w:val="32"/>
          <w:highlight w:val="none"/>
          <w:lang w:val="en-US" w:eastAsia="zh-CN"/>
        </w:rPr>
        <w:t>危险废物的收集、贮存、运输须符合《危险废物收集 贮存 运输技术规范》（HJ2025-2012）及《危险废物贮存污染控制标准》（GB18597-2023）的相关要求。</w:t>
      </w:r>
    </w:p>
    <w:p w14:paraId="06209AD6">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eastAsia" w:eastAsia="仿宋_GB2312" w:cs="Times New Roman"/>
          <w:color w:val="auto"/>
          <w:kern w:val="2"/>
          <w:szCs w:val="32"/>
          <w:highlight w:val="none"/>
          <w:lang w:eastAsia="zh-CN"/>
        </w:rPr>
      </w:pPr>
      <w:r>
        <w:rPr>
          <w:rFonts w:hint="default" w:ascii="Times New Roman" w:hAnsi="Times New Roman" w:eastAsia="仿宋_GB2312" w:cs="Times New Roman"/>
        </w:rPr>
        <w:t>（</w:t>
      </w:r>
      <w:r>
        <w:rPr>
          <w:rFonts w:hint="eastAsia" w:eastAsia="仿宋_GB2312" w:cs="Times New Roman"/>
          <w:lang w:val="en-US" w:eastAsia="zh-CN"/>
        </w:rPr>
        <w:t>六</w:t>
      </w:r>
      <w:r>
        <w:rPr>
          <w:rFonts w:hint="default" w:ascii="Times New Roman" w:hAnsi="Times New Roman" w:eastAsia="仿宋_GB2312" w:cs="Times New Roman"/>
        </w:rPr>
        <w:t>）严格落实</w:t>
      </w:r>
      <w:r>
        <w:rPr>
          <w:rFonts w:hint="default" w:ascii="Times New Roman" w:hAnsi="Times New Roman" w:eastAsia="仿宋_GB2312" w:cs="Times New Roman"/>
          <w:lang w:val="en-US" w:eastAsia="zh-CN"/>
        </w:rPr>
        <w:t>地下水及</w:t>
      </w:r>
      <w:r>
        <w:rPr>
          <w:rFonts w:hint="default" w:ascii="Times New Roman" w:hAnsi="Times New Roman" w:eastAsia="仿宋_GB2312" w:cs="Times New Roman"/>
        </w:rPr>
        <w:t>土壤污染防治措施。</w:t>
      </w:r>
      <w:r>
        <w:rPr>
          <w:rFonts w:hint="eastAsia" w:eastAsia="仿宋_GB2312" w:cs="Times New Roman"/>
          <w:bCs/>
          <w:color w:val="auto"/>
          <w:szCs w:val="32"/>
          <w:highlight w:val="none"/>
          <w:lang w:eastAsia="zh-CN"/>
        </w:rPr>
        <w:t>按照源头防控、分区防治、污染监控、应急响应的原则进行地下水污染防治。严格按照导则要求，落实分区防渗和监控措施，</w:t>
      </w:r>
      <w:r>
        <w:rPr>
          <w:rFonts w:hint="eastAsia" w:eastAsia="仿宋_GB2312" w:cs="Times New Roman"/>
          <w:bCs/>
          <w:color w:val="auto"/>
          <w:szCs w:val="32"/>
          <w:highlight w:val="none"/>
          <w:lang w:val="en-US" w:eastAsia="zh-CN"/>
        </w:rPr>
        <w:t>对施工期采油井场井口、泥浆不落地系统、柴油储罐、危废暂存点等区域</w:t>
      </w:r>
      <w:r>
        <w:rPr>
          <w:rFonts w:hint="eastAsia" w:ascii="Times New Roman" w:hAnsi="Times New Roman" w:eastAsia="仿宋_GB2312"/>
          <w:color w:val="000000"/>
          <w:lang w:val="en-US" w:eastAsia="zh-CN"/>
        </w:rPr>
        <w:t>进行</w:t>
      </w:r>
      <w:r>
        <w:rPr>
          <w:rFonts w:hint="eastAsia" w:eastAsia="仿宋_GB2312" w:cs="Times New Roman"/>
          <w:lang w:val="en-US" w:eastAsia="zh-CN"/>
        </w:rPr>
        <w:t>重点</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lang w:val="en-US" w:eastAsia="zh-CN"/>
        </w:rPr>
        <w:t>对柴油发电机和钻井机处区域</w:t>
      </w:r>
      <w:r>
        <w:rPr>
          <w:rFonts w:hint="eastAsia" w:ascii="Times New Roman" w:hAnsi="Times New Roman" w:eastAsia="仿宋_GB2312"/>
          <w:color w:val="000000"/>
          <w:lang w:val="en-US" w:eastAsia="zh-CN"/>
        </w:rPr>
        <w:t>进行一般</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color w:val="auto"/>
          <w:kern w:val="2"/>
          <w:szCs w:val="32"/>
          <w:highlight w:val="none"/>
          <w:lang w:eastAsia="zh-CN"/>
        </w:rPr>
        <w:t>加强防渗设施的日常维护，对出现损坏的防渗设施应及时修复和加固，确保防渗设施牢固安全。</w:t>
      </w:r>
    </w:p>
    <w:p w14:paraId="1172D56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color w:val="auto"/>
          <w:szCs w:val="32"/>
          <w:highlight w:val="none"/>
          <w:lang w:eastAsia="zh-CN"/>
        </w:rPr>
        <w:t>加强施工期环境保护，落实防沙治沙措施，防止施工废水、扬尘、噪声污染、水土流失和生态破坏。</w:t>
      </w:r>
    </w:p>
    <w:p w14:paraId="21C8611F">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24F231E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九</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367ABA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6983DF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0212C1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128团城镇和生态保护中心</w:t>
      </w:r>
      <w:r>
        <w:rPr>
          <w:rFonts w:hint="default" w:ascii="Times New Roman" w:hAnsi="Times New Roman" w:eastAsia="仿宋_GB2312" w:cs="Times New Roman"/>
          <w:bCs/>
          <w:color w:val="auto"/>
          <w:szCs w:val="32"/>
          <w:highlight w:val="none"/>
        </w:rPr>
        <w:t>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6A63F0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送师市生态环境保护综合行政执法支队、生态环境监测站、</w:t>
      </w:r>
      <w:r>
        <w:rPr>
          <w:rFonts w:hint="eastAsia" w:eastAsia="仿宋_GB2312" w:cs="Times New Roman"/>
          <w:bCs/>
          <w:color w:val="auto"/>
          <w:szCs w:val="32"/>
          <w:highlight w:val="none"/>
          <w:lang w:val="en-US" w:eastAsia="zh-CN"/>
        </w:rPr>
        <w:t>128团城镇和生态保护中心</w:t>
      </w:r>
      <w:r>
        <w:rPr>
          <w:rFonts w:hint="default" w:ascii="Times New Roman" w:hAnsi="Times New Roman" w:eastAsia="仿宋_GB2312" w:cs="Times New Roman"/>
          <w:bCs/>
          <w:color w:val="auto"/>
          <w:szCs w:val="32"/>
          <w:highlight w:val="none"/>
        </w:rPr>
        <w:t>，并按规定接受各级生态环境主管部门的监督检查。</w:t>
      </w:r>
    </w:p>
    <w:p w14:paraId="3F8719BC">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6E2FBCCF">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5167903C">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64D7B946">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6</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2</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26</w:t>
      </w:r>
      <w:r>
        <w:rPr>
          <w:rFonts w:hint="default" w:ascii="Times New Roman" w:hAnsi="Times New Roman" w:eastAsia="仿宋_GB2312" w:cs="Times New Roman"/>
          <w:bCs/>
          <w:color w:val="auto"/>
          <w:szCs w:val="32"/>
          <w:highlight w:val="none"/>
        </w:rPr>
        <w:t>日</w:t>
      </w:r>
    </w:p>
    <w:p w14:paraId="78E62357">
      <w:pPr>
        <w:spacing w:line="400" w:lineRule="exact"/>
        <w:ind w:right="316" w:rightChars="100"/>
        <w:rPr>
          <w:rFonts w:hint="default" w:ascii="Times New Roman" w:hAnsi="Times New Roman" w:eastAsia="仿宋_GB2312" w:cs="Times New Roman"/>
          <w:color w:val="auto"/>
          <w:sz w:val="28"/>
          <w:szCs w:val="28"/>
        </w:rPr>
      </w:pPr>
    </w:p>
    <w:p w14:paraId="0899815C">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38B52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7DAAFE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86C91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1368CD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9F1219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6BA394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BCC775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FEB57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2C7126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6956E2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941AAC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9B36E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E7019D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947C30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EB24CF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51B10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D32A46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4B846C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7B2A3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ABEA5B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7DE9AB8">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2ED02F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3A171B1">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4869A6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45A79B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293EF7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196C0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A0823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8F6A39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90D692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908C7B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225F48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6ECE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31EF20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F9BB3F9">
      <w:pPr>
        <w:pStyle w:val="2"/>
        <w:rPr>
          <w:rFonts w:hint="eastAsia"/>
          <w:lang w:eastAsia="zh-CN"/>
        </w:rPr>
      </w:pPr>
    </w:p>
    <w:p w14:paraId="5FB975E0">
      <w:pPr>
        <w:pStyle w:val="2"/>
        <w:rPr>
          <w:rFonts w:hint="eastAsia"/>
          <w:lang w:eastAsia="zh-CN"/>
        </w:rPr>
      </w:pPr>
    </w:p>
    <w:p w14:paraId="66BBEC3A">
      <w:pPr>
        <w:pStyle w:val="2"/>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rPr>
      </w:pPr>
      <w:bookmarkStart w:id="2" w:name="_GoBack"/>
      <w:bookmarkEnd w:id="2"/>
    </w:p>
    <w:p w14:paraId="35C2C75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56831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68315"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85pt;height:0.85pt;width:438.45pt;z-index:251660288;mso-width-relative:page;mso-height-relative:page;" filled="f" stroked="t" coordsize="21600,21600" o:gfxdata="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hbN/TAAAABAEAAA8AAAAAAAAAAQAgAAAAIgAAAGRycy9kb3du&#10;cmV2LnhtbFBLAQIUABQAAAAIAIdO4kCJn9VuBAIAAAEEAAAOAAAAAAAAAAEAIAAAACI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抄送：师市生态环境保护综合行政执法支队、生态环境监测站、</w:t>
      </w:r>
      <w:r>
        <w:rPr>
          <w:rFonts w:hint="default" w:ascii="Times New Roman" w:hAnsi="Times New Roman" w:eastAsia="仿宋_GB2312" w:cs="Times New Roman"/>
          <w:color w:val="auto"/>
          <w:sz w:val="28"/>
          <w:szCs w:val="28"/>
          <w:lang w:val="en-US" w:eastAsia="zh-CN"/>
        </w:rPr>
        <w:t>128团城镇和生态保护中心</w:t>
      </w:r>
      <w:r>
        <w:rPr>
          <w:rFonts w:hint="default" w:ascii="Times New Roman" w:hAnsi="Times New Roman" w:eastAsia="仿宋_GB2312" w:cs="Times New Roman"/>
          <w:color w:val="auto"/>
          <w:sz w:val="28"/>
          <w:szCs w:val="28"/>
        </w:rPr>
        <w:t>。</w:t>
      </w:r>
    </w:p>
    <w:p w14:paraId="66A4461E">
      <w:pPr>
        <w:spacing w:line="600" w:lineRule="exact"/>
        <w:ind w:right="316" w:rightChars="100" w:firstLine="254" w:firstLineChars="1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w:t>新疆生产建设兵团第七师胡杨河市生态环境局</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6150">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E986">
                          <w:pPr>
                            <w:pStyle w:val="13"/>
                            <w:ind w:left="320" w:leftChars="100" w:right="320" w:rightChars="100"/>
                            <w:rPr>
                              <w:rStyle w:val="22"/>
                              <w:rFonts w:hint="eastAsia" w:ascii="仿宋_GB2312" w:eastAsia="仿宋_GB2312"/>
                              <w:b/>
                              <w:bCs/>
                              <w:sz w:val="28"/>
                              <w:szCs w:val="28"/>
                            </w:rPr>
                          </w:pPr>
                          <w:r>
                            <w:rPr>
                              <w:rStyle w:val="22"/>
                              <w:rFonts w:hint="eastAsia" w:ascii="仿宋_GB2312" w:eastAsia="仿宋_GB2312"/>
                              <w:sz w:val="28"/>
                              <w:szCs w:val="28"/>
                            </w:rPr>
                            <w:t xml:space="preserve">— </w:t>
                          </w:r>
                          <w:r>
                            <w:rPr>
                              <w:rFonts w:hint="eastAsia" w:ascii="仿宋_GB2312" w:eastAsia="仿宋_GB2312"/>
                              <w:sz w:val="28"/>
                              <w:szCs w:val="28"/>
                            </w:rPr>
                            <w:fldChar w:fldCharType="begin"/>
                          </w:r>
                          <w:r>
                            <w:rPr>
                              <w:rStyle w:val="2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2"/>
                              <w:rFonts w:ascii="仿宋_GB2312" w:eastAsia="仿宋_GB2312"/>
                              <w:sz w:val="28"/>
                              <w:szCs w:val="28"/>
                            </w:rPr>
                            <w:t>1</w:t>
                          </w:r>
                          <w:r>
                            <w:rPr>
                              <w:rFonts w:hint="eastAsia" w:ascii="仿宋_GB2312" w:eastAsia="仿宋_GB2312"/>
                              <w:sz w:val="28"/>
                              <w:szCs w:val="28"/>
                            </w:rPr>
                            <w:fldChar w:fldCharType="end"/>
                          </w:r>
                          <w:r>
                            <w:rPr>
                              <w:rStyle w:val="22"/>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EF3E986">
                    <w:pPr>
                      <w:pStyle w:val="13"/>
                      <w:ind w:left="320" w:leftChars="100" w:right="320" w:rightChars="100"/>
                      <w:rPr>
                        <w:rStyle w:val="22"/>
                        <w:rFonts w:hint="eastAsia" w:ascii="仿宋_GB2312" w:eastAsia="仿宋_GB2312"/>
                        <w:b/>
                        <w:bCs/>
                        <w:sz w:val="28"/>
                        <w:szCs w:val="28"/>
                      </w:rPr>
                    </w:pPr>
                    <w:r>
                      <w:rPr>
                        <w:rStyle w:val="22"/>
                        <w:rFonts w:hint="eastAsia" w:ascii="仿宋_GB2312" w:eastAsia="仿宋_GB2312"/>
                        <w:sz w:val="28"/>
                        <w:szCs w:val="28"/>
                      </w:rPr>
                      <w:t xml:space="preserve">— </w:t>
                    </w:r>
                    <w:r>
                      <w:rPr>
                        <w:rFonts w:hint="eastAsia" w:ascii="仿宋_GB2312" w:eastAsia="仿宋_GB2312"/>
                        <w:sz w:val="28"/>
                        <w:szCs w:val="28"/>
                      </w:rPr>
                      <w:fldChar w:fldCharType="begin"/>
                    </w:r>
                    <w:r>
                      <w:rPr>
                        <w:rStyle w:val="2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2"/>
                        <w:rFonts w:ascii="仿宋_GB2312" w:eastAsia="仿宋_GB2312"/>
                        <w:sz w:val="28"/>
                        <w:szCs w:val="28"/>
                      </w:rPr>
                      <w:t>1</w:t>
                    </w:r>
                    <w:r>
                      <w:rPr>
                        <w:rFonts w:hint="eastAsia" w:ascii="仿宋_GB2312" w:eastAsia="仿宋_GB2312"/>
                        <w:sz w:val="28"/>
                        <w:szCs w:val="28"/>
                      </w:rPr>
                      <w:fldChar w:fldCharType="end"/>
                    </w:r>
                    <w:r>
                      <w:rPr>
                        <w:rStyle w:val="22"/>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3F2">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1</w:t>
    </w:r>
    <w:r>
      <w:fldChar w:fldCharType="end"/>
    </w:r>
  </w:p>
  <w:p w14:paraId="0475D362">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AC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5"/>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QzYjNhYTE2OGQ5MDI4ZjFiOTZkOTM2ZTYxYzcifQ=="/>
    <w:docVar w:name="KSO_WPS_MARK_KEY" w:val="d26b9c51-6e15-4a45-9ce6-093b6e674425"/>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3752488"/>
    <w:rsid w:val="046775AC"/>
    <w:rsid w:val="04B77D73"/>
    <w:rsid w:val="05207129"/>
    <w:rsid w:val="05737345"/>
    <w:rsid w:val="06281A38"/>
    <w:rsid w:val="06C71389"/>
    <w:rsid w:val="06CC7B06"/>
    <w:rsid w:val="07061550"/>
    <w:rsid w:val="07E14CFA"/>
    <w:rsid w:val="081F0F86"/>
    <w:rsid w:val="08EC6D80"/>
    <w:rsid w:val="0994708F"/>
    <w:rsid w:val="09E77F18"/>
    <w:rsid w:val="0BBC2B25"/>
    <w:rsid w:val="0BC649E1"/>
    <w:rsid w:val="0C7E602C"/>
    <w:rsid w:val="0CE57E5A"/>
    <w:rsid w:val="0E130163"/>
    <w:rsid w:val="0E7B0A75"/>
    <w:rsid w:val="0EDB59B8"/>
    <w:rsid w:val="0F0F11BE"/>
    <w:rsid w:val="0FE304CE"/>
    <w:rsid w:val="117F3F9C"/>
    <w:rsid w:val="128F6BA3"/>
    <w:rsid w:val="12C7072D"/>
    <w:rsid w:val="141E2CF7"/>
    <w:rsid w:val="15437E13"/>
    <w:rsid w:val="16733296"/>
    <w:rsid w:val="16B800EE"/>
    <w:rsid w:val="16E15B36"/>
    <w:rsid w:val="16F05D79"/>
    <w:rsid w:val="177121A0"/>
    <w:rsid w:val="17D3547E"/>
    <w:rsid w:val="18A773D4"/>
    <w:rsid w:val="18C9062F"/>
    <w:rsid w:val="19341F4D"/>
    <w:rsid w:val="19A10D50"/>
    <w:rsid w:val="1A597231"/>
    <w:rsid w:val="1D8B05A9"/>
    <w:rsid w:val="1E460B4D"/>
    <w:rsid w:val="1E7948A6"/>
    <w:rsid w:val="1F7532BF"/>
    <w:rsid w:val="203531CA"/>
    <w:rsid w:val="205C4B20"/>
    <w:rsid w:val="20783D41"/>
    <w:rsid w:val="209D487B"/>
    <w:rsid w:val="21162F81"/>
    <w:rsid w:val="21DD6837"/>
    <w:rsid w:val="2250591D"/>
    <w:rsid w:val="22794E74"/>
    <w:rsid w:val="232E3EB1"/>
    <w:rsid w:val="233D7B4C"/>
    <w:rsid w:val="23D22A8E"/>
    <w:rsid w:val="23DC56BB"/>
    <w:rsid w:val="23E10AC4"/>
    <w:rsid w:val="24057B5F"/>
    <w:rsid w:val="24696853"/>
    <w:rsid w:val="24765B0F"/>
    <w:rsid w:val="247C78BD"/>
    <w:rsid w:val="250B5DC7"/>
    <w:rsid w:val="256C6F12"/>
    <w:rsid w:val="25B11864"/>
    <w:rsid w:val="260C6FC7"/>
    <w:rsid w:val="266546C4"/>
    <w:rsid w:val="291034DE"/>
    <w:rsid w:val="29C272F2"/>
    <w:rsid w:val="2B066B68"/>
    <w:rsid w:val="2B665A9B"/>
    <w:rsid w:val="2BA03F96"/>
    <w:rsid w:val="2C2240F7"/>
    <w:rsid w:val="2DFB7085"/>
    <w:rsid w:val="2F130EE6"/>
    <w:rsid w:val="2F1F6DA3"/>
    <w:rsid w:val="2F234AE5"/>
    <w:rsid w:val="2F2B3664"/>
    <w:rsid w:val="2F306B60"/>
    <w:rsid w:val="2F57653D"/>
    <w:rsid w:val="2FEE4162"/>
    <w:rsid w:val="301A5EE8"/>
    <w:rsid w:val="31857392"/>
    <w:rsid w:val="32C5491C"/>
    <w:rsid w:val="331F7372"/>
    <w:rsid w:val="358F67ED"/>
    <w:rsid w:val="35927151"/>
    <w:rsid w:val="369167D9"/>
    <w:rsid w:val="371F1D45"/>
    <w:rsid w:val="37A75B88"/>
    <w:rsid w:val="38207142"/>
    <w:rsid w:val="38453BBB"/>
    <w:rsid w:val="396C7089"/>
    <w:rsid w:val="39A80255"/>
    <w:rsid w:val="3A783EEF"/>
    <w:rsid w:val="3BAC6099"/>
    <w:rsid w:val="3C25479F"/>
    <w:rsid w:val="3C814BF9"/>
    <w:rsid w:val="3D2A7F67"/>
    <w:rsid w:val="3D7076AF"/>
    <w:rsid w:val="3DD64512"/>
    <w:rsid w:val="3E322D18"/>
    <w:rsid w:val="3E900D0A"/>
    <w:rsid w:val="3EC1562C"/>
    <w:rsid w:val="3F0E35AF"/>
    <w:rsid w:val="3F4E158E"/>
    <w:rsid w:val="407209E5"/>
    <w:rsid w:val="41585AC3"/>
    <w:rsid w:val="4419237E"/>
    <w:rsid w:val="45D948F4"/>
    <w:rsid w:val="46F24DE3"/>
    <w:rsid w:val="474D04FA"/>
    <w:rsid w:val="47587B93"/>
    <w:rsid w:val="47D76015"/>
    <w:rsid w:val="47E96F77"/>
    <w:rsid w:val="4812529F"/>
    <w:rsid w:val="48776584"/>
    <w:rsid w:val="4936052D"/>
    <w:rsid w:val="493F20C4"/>
    <w:rsid w:val="4970227E"/>
    <w:rsid w:val="4A1609FB"/>
    <w:rsid w:val="4AB55994"/>
    <w:rsid w:val="4B9F5BD0"/>
    <w:rsid w:val="4CBF17F2"/>
    <w:rsid w:val="4CCA458A"/>
    <w:rsid w:val="4EA3604D"/>
    <w:rsid w:val="4F0E67C1"/>
    <w:rsid w:val="4FFE5147"/>
    <w:rsid w:val="50C2181E"/>
    <w:rsid w:val="50CC6933"/>
    <w:rsid w:val="50CD705E"/>
    <w:rsid w:val="51134562"/>
    <w:rsid w:val="52E568E7"/>
    <w:rsid w:val="532B39C5"/>
    <w:rsid w:val="54231BA0"/>
    <w:rsid w:val="54CF69F2"/>
    <w:rsid w:val="550F6DEF"/>
    <w:rsid w:val="562D5084"/>
    <w:rsid w:val="56B572CC"/>
    <w:rsid w:val="56E16569"/>
    <w:rsid w:val="56F42E4F"/>
    <w:rsid w:val="596F60AE"/>
    <w:rsid w:val="5A605F4A"/>
    <w:rsid w:val="5A885A96"/>
    <w:rsid w:val="5AA77AC9"/>
    <w:rsid w:val="5B637E94"/>
    <w:rsid w:val="5B9C5154"/>
    <w:rsid w:val="5BF921B1"/>
    <w:rsid w:val="5C1B42CB"/>
    <w:rsid w:val="5CB62246"/>
    <w:rsid w:val="5CBD2518"/>
    <w:rsid w:val="5CBD6510"/>
    <w:rsid w:val="5D8B722E"/>
    <w:rsid w:val="5EF808F3"/>
    <w:rsid w:val="609006D2"/>
    <w:rsid w:val="610E0E65"/>
    <w:rsid w:val="63D83CD1"/>
    <w:rsid w:val="63F87D72"/>
    <w:rsid w:val="64C86FBA"/>
    <w:rsid w:val="652E506F"/>
    <w:rsid w:val="654C1999"/>
    <w:rsid w:val="660E4EA0"/>
    <w:rsid w:val="66A60DD7"/>
    <w:rsid w:val="66BE66CF"/>
    <w:rsid w:val="677F3533"/>
    <w:rsid w:val="68991CEA"/>
    <w:rsid w:val="6A2C3B47"/>
    <w:rsid w:val="6AC439C0"/>
    <w:rsid w:val="6ADC4BA2"/>
    <w:rsid w:val="6B762AC2"/>
    <w:rsid w:val="6B997D40"/>
    <w:rsid w:val="6C054650"/>
    <w:rsid w:val="6C4C04D0"/>
    <w:rsid w:val="6C711CE5"/>
    <w:rsid w:val="6D272415"/>
    <w:rsid w:val="6D561607"/>
    <w:rsid w:val="6D904215"/>
    <w:rsid w:val="6E7D6F40"/>
    <w:rsid w:val="6E8623AE"/>
    <w:rsid w:val="6F065AB6"/>
    <w:rsid w:val="70205EFC"/>
    <w:rsid w:val="70787AE6"/>
    <w:rsid w:val="71535E5D"/>
    <w:rsid w:val="721320EC"/>
    <w:rsid w:val="73323C81"/>
    <w:rsid w:val="734D62FA"/>
    <w:rsid w:val="73510DAC"/>
    <w:rsid w:val="7388211F"/>
    <w:rsid w:val="745A0337"/>
    <w:rsid w:val="748F3650"/>
    <w:rsid w:val="76DD68F5"/>
    <w:rsid w:val="76FA7D0E"/>
    <w:rsid w:val="77B21B30"/>
    <w:rsid w:val="780A371A"/>
    <w:rsid w:val="786F7A21"/>
    <w:rsid w:val="79621333"/>
    <w:rsid w:val="798C319D"/>
    <w:rsid w:val="79A731EA"/>
    <w:rsid w:val="79E166FC"/>
    <w:rsid w:val="79F35C8E"/>
    <w:rsid w:val="7A85778D"/>
    <w:rsid w:val="7BA55F94"/>
    <w:rsid w:val="7C460A98"/>
    <w:rsid w:val="7CE3278B"/>
    <w:rsid w:val="7D155CFE"/>
    <w:rsid w:val="7D7B4DE1"/>
    <w:rsid w:val="7EB2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5">
    <w:name w:val="heading 1"/>
    <w:basedOn w:val="1"/>
    <w:next w:val="1"/>
    <w:qFormat/>
    <w:uiPriority w:val="0"/>
    <w:pPr>
      <w:keepNext/>
      <w:keepLines/>
      <w:numPr>
        <w:ilvl w:val="0"/>
        <w:numId w:val="1"/>
      </w:numPr>
      <w:outlineLvl w:val="0"/>
    </w:pPr>
    <w:rPr>
      <w:b/>
      <w:kern w:val="0"/>
      <w:sz w:val="28"/>
      <w:szCs w:val="28"/>
    </w:rPr>
  </w:style>
  <w:style w:type="paragraph" w:styleId="6">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7">
    <w:name w:val="heading 3"/>
    <w:basedOn w:val="1"/>
    <w:next w:val="1"/>
    <w:qFormat/>
    <w:uiPriority w:val="0"/>
    <w:pPr>
      <w:keepNext/>
      <w:keepLines/>
      <w:spacing w:line="360" w:lineRule="auto"/>
      <w:ind w:firstLine="200" w:firstLineChars="200"/>
      <w:outlineLvl w:val="2"/>
    </w:pPr>
    <w:rPr>
      <w:bCs/>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华文中宋"/>
      <w:b/>
      <w:bCs/>
      <w:w w:val="90"/>
      <w:sz w:val="44"/>
    </w:rPr>
  </w:style>
  <w:style w:type="paragraph" w:customStyle="1" w:styleId="3">
    <w:name w:val="Default"/>
    <w:basedOn w:val="4"/>
    <w:next w:val="1"/>
    <w:unhideWhenUsed/>
    <w:qFormat/>
    <w:uiPriority w:val="0"/>
    <w:pPr>
      <w:tabs>
        <w:tab w:val="left" w:pos="2760"/>
      </w:tabs>
      <w:autoSpaceDE w:val="0"/>
      <w:autoSpaceDN w:val="0"/>
    </w:pPr>
    <w:rPr>
      <w:rFonts w:hAnsi="宋体" w:eastAsia="宋体"/>
      <w:color w:val="000000"/>
      <w:sz w:val="24"/>
    </w:rPr>
  </w:style>
  <w:style w:type="paragraph" w:customStyle="1" w:styleId="4">
    <w:name w:val="纯文本1"/>
    <w:basedOn w:val="1"/>
    <w:qFormat/>
    <w:uiPriority w:val="0"/>
    <w:pPr>
      <w:tabs>
        <w:tab w:val="left" w:pos="2760"/>
      </w:tabs>
      <w:adjustRightInd w:val="0"/>
    </w:pPr>
    <w:rPr>
      <w:rFonts w:ascii="宋体" w:hAnsi="Courier New"/>
    </w:rPr>
  </w:style>
  <w:style w:type="paragraph" w:styleId="8">
    <w:name w:val="Normal Indent"/>
    <w:basedOn w:val="1"/>
    <w:qFormat/>
    <w:uiPriority w:val="0"/>
    <w:pPr>
      <w:ind w:firstLine="420" w:firstLineChars="200"/>
    </w:pPr>
    <w:rPr>
      <w:rFonts w:ascii="宋体" w:hAnsi="宋体"/>
    </w:rPr>
  </w:style>
  <w:style w:type="paragraph" w:styleId="9">
    <w:name w:val="index 5"/>
    <w:basedOn w:val="1"/>
    <w:next w:val="1"/>
    <w:qFormat/>
    <w:uiPriority w:val="0"/>
    <w:pPr>
      <w:ind w:left="800" w:leftChars="800"/>
    </w:pPr>
  </w:style>
  <w:style w:type="paragraph" w:styleId="10">
    <w:name w:val="Body Text Indent"/>
    <w:basedOn w:val="1"/>
    <w:next w:val="2"/>
    <w:qFormat/>
    <w:uiPriority w:val="0"/>
    <w:pPr>
      <w:spacing w:after="120"/>
      <w:ind w:left="420" w:leftChars="200"/>
    </w:pPr>
  </w:style>
  <w:style w:type="paragraph" w:styleId="11">
    <w:name w:val="Block Text"/>
    <w:basedOn w:val="1"/>
    <w:next w:val="12"/>
    <w:qFormat/>
    <w:uiPriority w:val="99"/>
    <w:pPr>
      <w:spacing w:line="480" w:lineRule="exact"/>
      <w:ind w:left="-125" w:right="-56" w:firstLine="570"/>
    </w:pPr>
    <w:rPr>
      <w:sz w:val="28"/>
      <w:szCs w:val="24"/>
    </w:rPr>
  </w:style>
  <w:style w:type="paragraph" w:styleId="12">
    <w:name w:val="toc 9"/>
    <w:basedOn w:val="1"/>
    <w:next w:val="1"/>
    <w:qFormat/>
    <w:uiPriority w:val="39"/>
    <w:pPr>
      <w:jc w:val="center"/>
    </w:pPr>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next w:val="9"/>
    <w:unhideWhenUsed/>
    <w:qFormat/>
    <w:uiPriority w:val="99"/>
    <w:pPr>
      <w:snapToGrid w:val="0"/>
      <w:jc w:val="left"/>
    </w:pPr>
    <w:rPr>
      <w:rFonts w:ascii="Calibri" w:hAnsi="Calibri" w:eastAsia="仿宋" w:cs="Times New Roman"/>
      <w:sz w:val="18"/>
      <w:szCs w:val="18"/>
    </w:rPr>
  </w:style>
  <w:style w:type="paragraph" w:styleId="16">
    <w:name w:val="Body Text 2"/>
    <w:basedOn w:val="1"/>
    <w:unhideWhenUsed/>
    <w:qFormat/>
    <w:uiPriority w:val="99"/>
    <w:pPr>
      <w:spacing w:after="120" w:line="480" w:lineRule="auto"/>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next w:val="19"/>
    <w:unhideWhenUsed/>
    <w:qFormat/>
    <w:uiPriority w:val="0"/>
    <w:pPr>
      <w:widowControl w:val="0"/>
      <w:kinsoku/>
      <w:autoSpaceDE/>
      <w:autoSpaceDN/>
      <w:spacing w:after="120" w:line="360" w:lineRule="auto"/>
      <w:ind w:firstLine="420" w:firstLineChars="100"/>
      <w:jc w:val="both"/>
      <w:textAlignment w:val="auto"/>
    </w:pPr>
    <w:rPr>
      <w:rFonts w:ascii="Times New Roman" w:hAnsi="Times New Roman" w:cs="Times New Roman"/>
      <w:color w:val="auto"/>
      <w:kern w:val="2"/>
      <w:sz w:val="24"/>
      <w:szCs w:val="24"/>
    </w:rPr>
  </w:style>
  <w:style w:type="paragraph" w:styleId="19">
    <w:name w:val="Body Text First Indent 2"/>
    <w:basedOn w:val="10"/>
    <w:next w:val="1"/>
    <w:qFormat/>
    <w:uiPriority w:val="0"/>
    <w:pPr>
      <w:adjustRightInd w:val="0"/>
      <w:spacing w:line="360" w:lineRule="atLeast"/>
      <w:ind w:left="0" w:leftChars="0" w:firstLine="210"/>
      <w:textAlignment w:val="baseline"/>
    </w:pPr>
    <w:rPr>
      <w:sz w:val="24"/>
    </w:rPr>
  </w:style>
  <w:style w:type="character" w:styleId="22">
    <w:name w:val="page number"/>
    <w:basedOn w:val="21"/>
    <w:qFormat/>
    <w:uiPriority w:val="0"/>
  </w:style>
  <w:style w:type="paragraph" w:customStyle="1" w:styleId="23">
    <w:name w:val="表头"/>
    <w:basedOn w:val="18"/>
    <w:next w:val="1"/>
    <w:qFormat/>
    <w:uiPriority w:val="0"/>
    <w:pPr>
      <w:jc w:val="center"/>
    </w:pPr>
    <w:rPr>
      <w:rFonts w:ascii="黑体" w:eastAsia="黑体"/>
      <w:kern w:val="0"/>
    </w:rPr>
  </w:style>
  <w:style w:type="paragraph" w:customStyle="1" w:styleId="2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5">
    <w:name w:val="样式 首行缩进:  2 字符1"/>
    <w:basedOn w:val="1"/>
    <w:qFormat/>
    <w:uiPriority w:val="0"/>
    <w:pPr>
      <w:adjustRightInd w:val="0"/>
      <w:snapToGrid w:val="0"/>
      <w:ind w:firstLine="480"/>
    </w:pPr>
    <w:rPr>
      <w:rFonts w:cs="宋体"/>
      <w:szCs w:val="20"/>
    </w:rPr>
  </w:style>
  <w:style w:type="paragraph" w:customStyle="1" w:styleId="26">
    <w:name w:val="Char"/>
    <w:basedOn w:val="1"/>
    <w:qFormat/>
    <w:uiPriority w:val="0"/>
    <w:rPr>
      <w:rFonts w:cs="宋体"/>
      <w:sz w:val="28"/>
    </w:rPr>
  </w:style>
  <w:style w:type="paragraph" w:customStyle="1" w:styleId="27">
    <w:name w:val="YJ正文*"/>
    <w:basedOn w:val="1"/>
    <w:qFormat/>
    <w:uiPriority w:val="0"/>
    <w:pPr>
      <w:spacing w:line="500" w:lineRule="exact"/>
      <w:ind w:firstLine="200" w:firstLineChars="200"/>
      <w:jc w:val="both"/>
    </w:pPr>
    <w:rPr>
      <w:rFonts w:ascii="等线" w:hAnsi="等线" w:eastAsia="宋体"/>
      <w:sz w:val="24"/>
    </w:rPr>
  </w:style>
  <w:style w:type="paragraph" w:customStyle="1" w:styleId="28">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2347</Words>
  <Characters>2591</Characters>
  <Lines>11</Lines>
  <Paragraphs>3</Paragraphs>
  <TotalTime>7</TotalTime>
  <ScaleCrop>false</ScaleCrop>
  <LinksUpToDate>false</LinksUpToDate>
  <CharactersWithSpaces>2630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Floating dream </cp:lastModifiedBy>
  <cp:lastPrinted>2026-02-13T08:48:00Z</cp:lastPrinted>
  <dcterms:modified xsi:type="dcterms:W3CDTF">2026-02-25T03:19:30Z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D2C9189B89B44163AB85257971250874_13</vt:lpwstr>
  </property>
  <property fmtid="{D5CDD505-2E9C-101B-9397-08002B2CF9AE}" pid="4" name="KSOTemplateDocerSaveRecord">
    <vt:lpwstr>eyJoZGlkIjoiODBjNzYxYmIzOWJkMDlmNzJmZjdjMmNkNDkzMGYxZDkiLCJ1c2VySWQiOiIzNjMzMTU4MzUifQ==</vt:lpwstr>
  </property>
</Properties>
</file>